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0F52" w14:textId="77777777" w:rsidR="005158DC" w:rsidRDefault="005158DC" w:rsidP="005158DC">
      <w:pPr>
        <w:jc w:val="center"/>
        <w:rPr>
          <w:rFonts w:ascii="Times New Roman" w:hAnsi="Times New Roman" w:cs="Arial"/>
          <w:b/>
          <w:sz w:val="36"/>
          <w:szCs w:val="36"/>
          <w:lang w:val="zh-CN" w:eastAsia="zh-CN"/>
        </w:rPr>
      </w:pPr>
    </w:p>
    <w:p w14:paraId="5477707D" w14:textId="77777777" w:rsidR="005158DC" w:rsidRPr="005E0124" w:rsidRDefault="005158DC" w:rsidP="005158DC">
      <w:pPr>
        <w:jc w:val="center"/>
        <w:rPr>
          <w:rFonts w:ascii="Times New Roman" w:hAnsi="Times New Roman" w:cs="Arial"/>
          <w:b/>
          <w:sz w:val="36"/>
          <w:szCs w:val="36"/>
          <w:lang w:val="en-US" w:eastAsia="zh-CN"/>
        </w:rPr>
      </w:pPr>
    </w:p>
    <w:p w14:paraId="052351FE" w14:textId="77777777" w:rsidR="005158DC" w:rsidRPr="00961A43" w:rsidRDefault="005158DC" w:rsidP="005158DC">
      <w:pPr>
        <w:jc w:val="center"/>
        <w:rPr>
          <w:rFonts w:ascii="Times New Roman" w:hAnsi="Times New Roman" w:cs="Arial"/>
          <w:b/>
          <w:sz w:val="36"/>
          <w:szCs w:val="36"/>
          <w:lang w:val="zh-CN" w:eastAsia="zh-CN"/>
        </w:rPr>
      </w:pPr>
    </w:p>
    <w:p w14:paraId="370D23F0" w14:textId="77777777" w:rsidR="005158DC" w:rsidRPr="007B7E34" w:rsidRDefault="005158DC" w:rsidP="005158DC">
      <w:pPr>
        <w:jc w:val="center"/>
        <w:rPr>
          <w:rFonts w:ascii="Times New Roman" w:eastAsia="宋体" w:hAnsi="Times New Roman" w:cs="Arial"/>
          <w:b/>
          <w:sz w:val="36"/>
          <w:szCs w:val="36"/>
          <w:lang w:val="en-US" w:eastAsia="zh-CN"/>
        </w:rPr>
      </w:pPr>
    </w:p>
    <w:p w14:paraId="0E287D8A" w14:textId="77777777" w:rsidR="005158DC" w:rsidRPr="00AD7455" w:rsidRDefault="005158DC" w:rsidP="005158DC">
      <w:pPr>
        <w:jc w:val="center"/>
        <w:rPr>
          <w:rFonts w:ascii="Times New Roman" w:eastAsia="宋体" w:hAnsi="Times New Roman" w:cs="Arial"/>
          <w:b/>
          <w:sz w:val="36"/>
          <w:szCs w:val="36"/>
          <w:lang w:val="zh-CN" w:eastAsia="zh-CN"/>
        </w:rPr>
      </w:pPr>
    </w:p>
    <w:p w14:paraId="4264D852" w14:textId="77777777" w:rsidR="005158DC" w:rsidRPr="00F35A2E" w:rsidRDefault="005158DC" w:rsidP="005158DC">
      <w:pPr>
        <w:jc w:val="center"/>
        <w:rPr>
          <w:rFonts w:ascii="黑体" w:eastAsia="黑体" w:hAnsi="黑体" w:cs="Arial"/>
          <w:i/>
          <w:sz w:val="40"/>
          <w:szCs w:val="40"/>
          <w:lang w:val="zh-CN" w:eastAsia="zh-CN"/>
        </w:rPr>
      </w:pPr>
      <w:r w:rsidRPr="00F35A2E">
        <w:rPr>
          <w:rFonts w:ascii="黑体" w:eastAsia="黑体" w:hAnsi="黑体" w:cs="Arial" w:hint="eastAsia"/>
          <w:i/>
          <w:sz w:val="40"/>
          <w:szCs w:val="40"/>
          <w:lang w:val="zh-CN" w:eastAsia="zh-CN"/>
        </w:rPr>
        <w:t>推动绿色金融全球化</w:t>
      </w:r>
    </w:p>
    <w:p w14:paraId="31CB9CAE" w14:textId="77777777" w:rsidR="005158DC" w:rsidRPr="00F35A2E" w:rsidRDefault="005158DC" w:rsidP="005158DC">
      <w:pPr>
        <w:jc w:val="center"/>
        <w:rPr>
          <w:rFonts w:ascii="黑体" w:eastAsia="黑体" w:hAnsi="黑体" w:cs="Arial"/>
          <w:b/>
          <w:sz w:val="44"/>
          <w:szCs w:val="44"/>
          <w:lang w:val="zh-CN" w:eastAsia="zh-CN"/>
        </w:rPr>
      </w:pPr>
      <w:r w:rsidRPr="00F35A2E">
        <w:rPr>
          <w:rFonts w:ascii="黑体" w:eastAsia="黑体" w:hAnsi="黑体" w:cs="Arial" w:hint="eastAsia"/>
          <w:b/>
          <w:sz w:val="44"/>
          <w:szCs w:val="44"/>
          <w:lang w:val="zh-CN" w:eastAsia="zh-CN"/>
        </w:rPr>
        <w:t>将绿色潜力转化为行动</w:t>
      </w:r>
    </w:p>
    <w:p w14:paraId="6B467F59" w14:textId="77777777" w:rsidR="005158DC" w:rsidRDefault="005158DC" w:rsidP="005158DC">
      <w:pPr>
        <w:jc w:val="center"/>
        <w:rPr>
          <w:rFonts w:ascii="Times New Roman" w:eastAsia="宋体" w:hAnsi="Times New Roman" w:cs="Arial"/>
          <w:b/>
          <w:sz w:val="36"/>
          <w:szCs w:val="36"/>
          <w:lang w:val="zh-CN" w:eastAsia="zh-CN"/>
        </w:rPr>
      </w:pPr>
    </w:p>
    <w:p w14:paraId="0A9065C2" w14:textId="77777777" w:rsidR="005158DC" w:rsidRPr="00F2521D" w:rsidRDefault="005158DC" w:rsidP="005158DC">
      <w:pPr>
        <w:jc w:val="center"/>
        <w:rPr>
          <w:rFonts w:ascii="Times New Roman" w:eastAsia="宋体" w:hAnsi="Times New Roman" w:cs="Arial"/>
          <w:b/>
          <w:sz w:val="36"/>
          <w:szCs w:val="36"/>
          <w:lang w:val="zh-CN" w:eastAsia="zh-CN"/>
        </w:rPr>
      </w:pPr>
    </w:p>
    <w:p w14:paraId="609C70A8" w14:textId="77777777" w:rsidR="005158DC" w:rsidRDefault="005158DC" w:rsidP="005158DC">
      <w:pPr>
        <w:jc w:val="center"/>
        <w:rPr>
          <w:rFonts w:ascii="Times New Roman" w:eastAsia="宋体" w:hAnsi="Times New Roman" w:cs="Arial"/>
          <w:b/>
          <w:sz w:val="32"/>
          <w:szCs w:val="32"/>
          <w:lang w:val="zh-CN" w:eastAsia="zh-CN"/>
        </w:rPr>
      </w:pPr>
      <w:r w:rsidRPr="00013313">
        <w:rPr>
          <w:rFonts w:ascii="Times New Roman" w:eastAsia="宋体" w:hAnsi="Times New Roman" w:cs="Arial"/>
          <w:b/>
          <w:sz w:val="32"/>
          <w:szCs w:val="32"/>
          <w:lang w:val="zh-CN" w:eastAsia="zh-CN"/>
        </w:rPr>
        <w:t>2017</w:t>
      </w:r>
      <w:r w:rsidRPr="00013313">
        <w:rPr>
          <w:rFonts w:ascii="Times New Roman" w:eastAsia="宋体" w:hAnsi="Times New Roman" w:cs="Arial" w:hint="eastAsia"/>
          <w:b/>
          <w:sz w:val="32"/>
          <w:szCs w:val="32"/>
          <w:lang w:val="zh-CN" w:eastAsia="zh-CN"/>
        </w:rPr>
        <w:t>年中英绿色金融工作组中期报告</w:t>
      </w:r>
    </w:p>
    <w:p w14:paraId="5CF5E31D" w14:textId="21F4EBBB" w:rsidR="0051529E" w:rsidRPr="00013313" w:rsidRDefault="0051529E" w:rsidP="005158DC">
      <w:pPr>
        <w:jc w:val="center"/>
        <w:rPr>
          <w:rFonts w:ascii="Times New Roman" w:eastAsia="宋体" w:hAnsi="Times New Roman" w:cs="Arial"/>
          <w:b/>
          <w:sz w:val="32"/>
          <w:szCs w:val="32"/>
          <w:lang w:val="zh-CN" w:eastAsia="zh-CN"/>
        </w:rPr>
      </w:pPr>
      <w:r>
        <w:rPr>
          <w:rFonts w:ascii="Times New Roman" w:eastAsia="宋体" w:hAnsi="Times New Roman" w:cs="Arial"/>
          <w:b/>
          <w:sz w:val="32"/>
          <w:szCs w:val="32"/>
          <w:lang w:val="zh-CN" w:eastAsia="zh-CN"/>
        </w:rPr>
        <w:t>(</w:t>
      </w:r>
      <w:r>
        <w:rPr>
          <w:rFonts w:ascii="Times New Roman" w:eastAsia="宋体" w:hAnsi="Times New Roman" w:cs="Arial" w:hint="eastAsia"/>
          <w:b/>
          <w:sz w:val="32"/>
          <w:szCs w:val="32"/>
          <w:lang w:val="zh-CN" w:eastAsia="zh-CN"/>
        </w:rPr>
        <w:t>中英文摘要</w:t>
      </w:r>
      <w:r>
        <w:rPr>
          <w:rFonts w:ascii="Times New Roman" w:eastAsia="宋体" w:hAnsi="Times New Roman" w:cs="Arial"/>
          <w:b/>
          <w:sz w:val="32"/>
          <w:szCs w:val="32"/>
          <w:lang w:val="zh-CN" w:eastAsia="zh-CN"/>
        </w:rPr>
        <w:t>)</w:t>
      </w:r>
    </w:p>
    <w:p w14:paraId="6C9ACB2C" w14:textId="77777777" w:rsidR="005158DC" w:rsidRPr="00862CC8" w:rsidRDefault="005158DC" w:rsidP="005158DC">
      <w:pPr>
        <w:jc w:val="center"/>
        <w:rPr>
          <w:rFonts w:ascii="Times New Roman" w:eastAsia="宋体" w:hAnsi="Times New Roman" w:cs="Arial"/>
          <w:b/>
          <w:sz w:val="24"/>
          <w:szCs w:val="24"/>
          <w:lang w:val="zh-CN" w:eastAsia="zh-CN"/>
        </w:rPr>
      </w:pPr>
    </w:p>
    <w:p w14:paraId="5C3BDD68" w14:textId="77777777" w:rsidR="005158DC" w:rsidRDefault="005158DC" w:rsidP="005158DC">
      <w:pPr>
        <w:jc w:val="center"/>
        <w:rPr>
          <w:rFonts w:ascii="Times New Roman" w:eastAsia="宋体" w:hAnsi="Times New Roman" w:cs="Arial"/>
          <w:b/>
          <w:sz w:val="36"/>
          <w:szCs w:val="36"/>
          <w:lang w:val="zh-CN" w:eastAsia="zh-CN"/>
        </w:rPr>
      </w:pPr>
    </w:p>
    <w:p w14:paraId="7FA9CCC6" w14:textId="77777777" w:rsidR="005158DC" w:rsidRDefault="005158DC" w:rsidP="005158DC">
      <w:pPr>
        <w:jc w:val="center"/>
        <w:rPr>
          <w:rFonts w:ascii="Times New Roman" w:eastAsia="宋体" w:hAnsi="Times New Roman" w:cs="Arial"/>
          <w:b/>
          <w:sz w:val="36"/>
          <w:szCs w:val="36"/>
          <w:lang w:val="zh-CN" w:eastAsia="zh-CN"/>
        </w:rPr>
      </w:pPr>
    </w:p>
    <w:p w14:paraId="3021BAA5" w14:textId="77777777" w:rsidR="005158DC" w:rsidRDefault="005158DC" w:rsidP="005158DC">
      <w:pPr>
        <w:jc w:val="center"/>
        <w:rPr>
          <w:rFonts w:ascii="Times New Roman" w:eastAsia="宋体" w:hAnsi="Times New Roman" w:cs="Arial"/>
          <w:b/>
          <w:sz w:val="36"/>
          <w:szCs w:val="36"/>
          <w:lang w:val="zh-CN" w:eastAsia="zh-CN"/>
        </w:rPr>
      </w:pPr>
    </w:p>
    <w:p w14:paraId="19022961" w14:textId="71998148" w:rsidR="005158DC" w:rsidRPr="00F35A2E" w:rsidRDefault="00F35A2E" w:rsidP="005158DC">
      <w:pPr>
        <w:jc w:val="center"/>
        <w:rPr>
          <w:rFonts w:ascii="Times New Roman" w:eastAsia="宋体" w:hAnsi="Times New Roman" w:cs="Arial"/>
          <w:b/>
          <w:sz w:val="28"/>
          <w:szCs w:val="28"/>
          <w:lang w:val="zh-CN" w:eastAsia="zh-CN"/>
        </w:rPr>
      </w:pPr>
      <w:r w:rsidRPr="00F35A2E">
        <w:rPr>
          <w:rFonts w:ascii="Times New Roman" w:eastAsia="宋体" w:hAnsi="Times New Roman" w:cs="Arial" w:hint="eastAsia"/>
          <w:b/>
          <w:sz w:val="28"/>
          <w:szCs w:val="28"/>
          <w:lang w:val="zh-CN" w:eastAsia="zh-CN"/>
        </w:rPr>
        <w:t>2017</w:t>
      </w:r>
      <w:r w:rsidRPr="00F35A2E">
        <w:rPr>
          <w:rFonts w:ascii="Times New Roman" w:eastAsia="宋体" w:hAnsi="Times New Roman" w:cs="Arial" w:hint="eastAsia"/>
          <w:b/>
          <w:sz w:val="28"/>
          <w:szCs w:val="28"/>
          <w:lang w:val="zh-CN" w:eastAsia="zh-CN"/>
        </w:rPr>
        <w:t>年</w:t>
      </w:r>
      <w:r w:rsidR="005158DC" w:rsidRPr="00F35A2E">
        <w:rPr>
          <w:rFonts w:ascii="Times New Roman" w:eastAsia="宋体" w:hAnsi="Times New Roman" w:cs="Arial"/>
          <w:b/>
          <w:sz w:val="28"/>
          <w:szCs w:val="28"/>
          <w:lang w:val="zh-CN" w:eastAsia="zh-CN"/>
        </w:rPr>
        <w:t>9</w:t>
      </w:r>
      <w:r w:rsidR="005158DC" w:rsidRPr="00F35A2E">
        <w:rPr>
          <w:rFonts w:ascii="Times New Roman" w:eastAsia="宋体" w:hAnsi="Times New Roman" w:cs="Arial" w:hint="eastAsia"/>
          <w:b/>
          <w:sz w:val="28"/>
          <w:szCs w:val="28"/>
          <w:lang w:val="zh-CN" w:eastAsia="zh-CN"/>
        </w:rPr>
        <w:t>月</w:t>
      </w:r>
      <w:r w:rsidR="005158DC" w:rsidRPr="00F35A2E">
        <w:rPr>
          <w:rFonts w:ascii="Times New Roman" w:eastAsia="宋体" w:hAnsi="Times New Roman" w:cs="Arial"/>
          <w:b/>
          <w:sz w:val="28"/>
          <w:szCs w:val="28"/>
          <w:lang w:val="zh-CN" w:eastAsia="zh-CN"/>
        </w:rPr>
        <w:t>4</w:t>
      </w:r>
      <w:r w:rsidR="005158DC" w:rsidRPr="00F35A2E">
        <w:rPr>
          <w:rFonts w:ascii="Times New Roman" w:eastAsia="宋体" w:hAnsi="Times New Roman" w:cs="Arial" w:hint="eastAsia"/>
          <w:b/>
          <w:sz w:val="28"/>
          <w:szCs w:val="28"/>
          <w:lang w:val="zh-CN" w:eastAsia="zh-CN"/>
        </w:rPr>
        <w:t>日</w:t>
      </w:r>
    </w:p>
    <w:p w14:paraId="55B42CE6" w14:textId="77777777" w:rsidR="00E55D17" w:rsidRDefault="005158DC" w:rsidP="00E55D17">
      <w:pPr>
        <w:rPr>
          <w:rFonts w:ascii="Times New Roman" w:eastAsia="宋体" w:hAnsi="Times New Roman" w:cs="Arial"/>
          <w:b/>
          <w:sz w:val="36"/>
          <w:szCs w:val="36"/>
          <w:lang w:val="zh-CN" w:eastAsia="zh-CN"/>
        </w:rPr>
        <w:sectPr w:rsidR="00E55D17" w:rsidSect="0051529E">
          <w:footerReference w:type="even" r:id="rId8"/>
          <w:footerReference w:type="default" r:id="rId9"/>
          <w:pgSz w:w="11900" w:h="16840"/>
          <w:pgMar w:top="1440" w:right="1800" w:bottom="1440" w:left="1800" w:header="851" w:footer="992" w:gutter="0"/>
          <w:pgNumType w:fmt="numberInDash" w:start="1"/>
          <w:cols w:space="425"/>
          <w:titlePg/>
          <w:docGrid w:type="lines" w:linePitch="312"/>
        </w:sectPr>
      </w:pPr>
      <w:r>
        <w:rPr>
          <w:rFonts w:ascii="Times New Roman" w:eastAsia="宋体" w:hAnsi="Times New Roman" w:cs="Arial"/>
          <w:b/>
          <w:sz w:val="36"/>
          <w:szCs w:val="36"/>
          <w:lang w:val="zh-CN" w:eastAsia="zh-CN"/>
        </w:rPr>
        <w:br w:type="page"/>
      </w:r>
    </w:p>
    <w:p w14:paraId="53D4B9A8" w14:textId="40AA05FA" w:rsidR="005158DC" w:rsidRPr="00F75863" w:rsidRDefault="005158DC" w:rsidP="00F75863">
      <w:pPr>
        <w:spacing w:after="0" w:line="240" w:lineRule="auto"/>
        <w:rPr>
          <w:rFonts w:ascii="Times New Roman" w:eastAsia="宋体" w:hAnsi="Times New Roman" w:cs="Arial"/>
          <w:b/>
          <w:sz w:val="24"/>
          <w:szCs w:val="36"/>
          <w:lang w:val="zh-CN" w:eastAsia="zh-CN"/>
        </w:rPr>
      </w:pPr>
    </w:p>
    <w:p w14:paraId="22E3423E" w14:textId="77777777" w:rsidR="005158DC" w:rsidRPr="00F35A2E" w:rsidRDefault="005158DC" w:rsidP="005158DC">
      <w:pPr>
        <w:spacing w:line="240" w:lineRule="auto"/>
        <w:jc w:val="center"/>
        <w:rPr>
          <w:rFonts w:ascii="黑体" w:eastAsia="黑体" w:hAnsi="黑体" w:cs="Arial"/>
          <w:b/>
          <w:sz w:val="36"/>
          <w:szCs w:val="36"/>
          <w:lang w:val="zh-CN" w:eastAsia="zh-CN"/>
        </w:rPr>
      </w:pPr>
      <w:r w:rsidRPr="00F35A2E">
        <w:rPr>
          <w:rFonts w:ascii="黑体" w:eastAsia="黑体" w:hAnsi="黑体" w:cs="Arial" w:hint="eastAsia"/>
          <w:b/>
          <w:sz w:val="36"/>
          <w:szCs w:val="36"/>
          <w:lang w:val="zh-CN" w:eastAsia="zh-CN"/>
        </w:rPr>
        <w:t>摘要</w:t>
      </w:r>
    </w:p>
    <w:p w14:paraId="037117B3" w14:textId="77777777" w:rsidR="005158DC" w:rsidRPr="00F2521D" w:rsidRDefault="005158DC" w:rsidP="007B7E34">
      <w:pPr>
        <w:spacing w:line="240" w:lineRule="auto"/>
        <w:ind w:firstLine="425"/>
        <w:jc w:val="both"/>
        <w:rPr>
          <w:rFonts w:ascii="Times New Roman" w:eastAsia="宋体" w:hAnsi="Times New Roman" w:cs="Arial"/>
          <w:lang w:val="zh-CN" w:eastAsia="zh-CN"/>
        </w:rPr>
      </w:pPr>
      <w:r w:rsidRPr="00F2521D">
        <w:rPr>
          <w:rFonts w:ascii="Times New Roman" w:eastAsia="宋体" w:hAnsi="Arial" w:cs="Arial" w:hint="eastAsia"/>
          <w:lang w:val="zh-CN" w:eastAsia="zh-CN"/>
        </w:rPr>
        <w:t>第</w:t>
      </w:r>
      <w:r>
        <w:rPr>
          <w:rFonts w:ascii="Times New Roman" w:eastAsia="宋体" w:hAnsi="Arial" w:cs="Arial" w:hint="eastAsia"/>
          <w:lang w:val="zh-CN" w:eastAsia="zh-CN"/>
        </w:rPr>
        <w:t>21</w:t>
      </w:r>
      <w:r w:rsidRPr="00F2521D">
        <w:rPr>
          <w:rFonts w:ascii="Times New Roman" w:eastAsia="宋体" w:hAnsi="Arial" w:cs="Arial" w:hint="eastAsia"/>
          <w:lang w:val="zh-CN" w:eastAsia="zh-CN"/>
        </w:rPr>
        <w:t>届联合国气候变化大会（</w:t>
      </w:r>
      <w:r w:rsidRPr="00F2521D">
        <w:rPr>
          <w:rFonts w:ascii="Times New Roman" w:eastAsia="宋体" w:hAnsi="Times New Roman" w:cs="Arial"/>
          <w:lang w:val="zh-CN" w:eastAsia="zh-CN"/>
        </w:rPr>
        <w:t>COP21</w:t>
      </w:r>
      <w:r w:rsidRPr="00F2521D">
        <w:rPr>
          <w:rFonts w:ascii="Times New Roman" w:eastAsia="宋体" w:hAnsi="Arial" w:cs="Arial" w:hint="eastAsia"/>
          <w:lang w:val="zh-CN" w:eastAsia="zh-CN"/>
        </w:rPr>
        <w:t>）</w:t>
      </w:r>
      <w:r>
        <w:rPr>
          <w:rFonts w:ascii="Times New Roman" w:eastAsia="宋体" w:hAnsi="Arial" w:cs="Arial" w:hint="eastAsia"/>
          <w:lang w:val="zh-CN" w:eastAsia="zh-CN"/>
        </w:rPr>
        <w:t>各缔约国</w:t>
      </w:r>
      <w:r w:rsidRPr="00F2521D">
        <w:rPr>
          <w:rFonts w:ascii="Times New Roman" w:eastAsia="宋体" w:hAnsi="Arial" w:cs="Arial" w:hint="eastAsia"/>
          <w:lang w:val="zh-CN" w:eastAsia="zh-CN"/>
        </w:rPr>
        <w:t>达成的《巴黎协定》以及</w:t>
      </w:r>
      <w:r w:rsidRPr="00F2521D">
        <w:rPr>
          <w:rFonts w:ascii="Times New Roman" w:eastAsia="宋体" w:hAnsi="Times New Roman" w:cs="Arial"/>
          <w:lang w:val="zh-CN" w:eastAsia="zh-CN"/>
        </w:rPr>
        <w:t>G20</w:t>
      </w:r>
      <w:r>
        <w:rPr>
          <w:rFonts w:ascii="Times New Roman" w:eastAsia="宋体" w:hAnsi="Arial" w:cs="Arial" w:hint="eastAsia"/>
          <w:lang w:val="zh-CN" w:eastAsia="zh-CN"/>
        </w:rPr>
        <w:t>均明确提出，必须采取有力的行动，</w:t>
      </w:r>
      <w:r w:rsidRPr="00F2521D">
        <w:rPr>
          <w:rFonts w:ascii="Times New Roman" w:eastAsia="宋体" w:hAnsi="Arial" w:cs="Arial" w:hint="eastAsia"/>
          <w:lang w:val="zh-CN" w:eastAsia="zh-CN"/>
        </w:rPr>
        <w:t>消除气候变化带来的</w:t>
      </w:r>
      <w:r>
        <w:rPr>
          <w:rFonts w:ascii="Times New Roman" w:eastAsia="宋体" w:hAnsi="Arial" w:cs="Arial" w:hint="eastAsia"/>
          <w:lang w:val="zh-CN" w:eastAsia="zh-CN"/>
        </w:rPr>
        <w:t>对人类生存环境的</w:t>
      </w:r>
      <w:r w:rsidRPr="00F2521D">
        <w:rPr>
          <w:rFonts w:ascii="Times New Roman" w:eastAsia="宋体" w:hAnsi="Arial" w:cs="Arial" w:hint="eastAsia"/>
          <w:lang w:val="zh-CN" w:eastAsia="zh-CN"/>
        </w:rPr>
        <w:t>威胁。联合国正全力推进实施可持续发展目标（</w:t>
      </w:r>
      <w:r w:rsidRPr="00F2521D">
        <w:rPr>
          <w:rFonts w:ascii="Times New Roman" w:eastAsia="宋体" w:hAnsi="Times New Roman" w:cs="Arial"/>
          <w:lang w:val="zh-CN" w:eastAsia="zh-CN"/>
        </w:rPr>
        <w:t>SDG</w:t>
      </w:r>
      <w:r>
        <w:rPr>
          <w:rFonts w:ascii="Times New Roman" w:eastAsia="宋体" w:hAnsi="Arial" w:cs="Arial" w:hint="eastAsia"/>
          <w:lang w:val="zh-CN" w:eastAsia="zh-CN"/>
        </w:rPr>
        <w:t>），推动全球向低碳经济转型</w:t>
      </w:r>
      <w:r w:rsidRPr="00F2521D">
        <w:rPr>
          <w:rFonts w:ascii="Times New Roman" w:eastAsia="宋体" w:hAnsi="Arial" w:cs="Arial" w:hint="eastAsia"/>
          <w:lang w:val="zh-CN" w:eastAsia="zh-CN"/>
        </w:rPr>
        <w:t>。</w:t>
      </w:r>
      <w:r>
        <w:rPr>
          <w:rFonts w:ascii="Times New Roman" w:eastAsia="宋体" w:hAnsi="Arial" w:cs="Arial" w:hint="eastAsia"/>
          <w:lang w:val="zh-CN" w:eastAsia="zh-CN"/>
        </w:rPr>
        <w:t>由中国和英国</w:t>
      </w:r>
      <w:r w:rsidRPr="00F2521D">
        <w:rPr>
          <w:rFonts w:ascii="Times New Roman" w:eastAsia="宋体" w:hAnsi="Arial" w:cs="Arial" w:hint="eastAsia"/>
          <w:lang w:val="zh-CN" w:eastAsia="zh-CN"/>
        </w:rPr>
        <w:t>担任</w:t>
      </w:r>
      <w:r>
        <w:rPr>
          <w:rFonts w:ascii="Times New Roman" w:eastAsia="宋体" w:hAnsi="Arial" w:cs="Arial" w:hint="eastAsia"/>
          <w:lang w:val="zh-CN" w:eastAsia="zh-CN"/>
        </w:rPr>
        <w:t>共同主席</w:t>
      </w:r>
      <w:r w:rsidRPr="00F2521D">
        <w:rPr>
          <w:rFonts w:ascii="Times New Roman" w:eastAsia="宋体" w:hAnsi="Arial" w:cs="Arial" w:hint="eastAsia"/>
          <w:lang w:val="zh-CN" w:eastAsia="zh-CN"/>
        </w:rPr>
        <w:t>的</w:t>
      </w:r>
      <w:r w:rsidRPr="00F2521D">
        <w:rPr>
          <w:rFonts w:ascii="Times New Roman" w:eastAsia="宋体" w:hAnsi="Arial" w:cs="Arial"/>
          <w:lang w:val="zh-CN" w:eastAsia="zh-CN"/>
        </w:rPr>
        <w:t>G20</w:t>
      </w:r>
      <w:r w:rsidRPr="00F2521D">
        <w:rPr>
          <w:rFonts w:ascii="Times New Roman" w:eastAsia="宋体" w:hAnsi="Arial" w:cs="Arial" w:hint="eastAsia"/>
          <w:lang w:val="zh-CN" w:eastAsia="zh-CN"/>
        </w:rPr>
        <w:t>绿色金融研究小组</w:t>
      </w:r>
      <w:r>
        <w:rPr>
          <w:rFonts w:ascii="Times New Roman" w:eastAsia="宋体" w:hAnsi="Arial" w:cs="Arial" w:hint="eastAsia"/>
          <w:lang w:val="zh-CN" w:eastAsia="zh-CN"/>
        </w:rPr>
        <w:t>提出了一组发展全球绿色金融</w:t>
      </w:r>
      <w:r w:rsidRPr="00F2521D">
        <w:rPr>
          <w:rFonts w:ascii="Times New Roman" w:eastAsia="宋体" w:hAnsi="Arial" w:cs="Arial" w:hint="eastAsia"/>
          <w:lang w:val="zh-CN" w:eastAsia="zh-CN"/>
        </w:rPr>
        <w:t>的</w:t>
      </w:r>
      <w:r>
        <w:rPr>
          <w:rFonts w:ascii="Times New Roman" w:eastAsia="宋体" w:hAnsi="Arial" w:cs="Arial" w:hint="eastAsia"/>
          <w:lang w:val="zh-CN" w:eastAsia="zh-CN"/>
        </w:rPr>
        <w:t>倡议</w:t>
      </w:r>
      <w:r w:rsidRPr="00F2521D">
        <w:rPr>
          <w:rFonts w:ascii="Times New Roman" w:eastAsia="宋体" w:hAnsi="Arial" w:cs="Arial" w:hint="eastAsia"/>
          <w:lang w:val="zh-CN" w:eastAsia="zh-CN"/>
        </w:rPr>
        <w:t>，</w:t>
      </w:r>
      <w:r>
        <w:rPr>
          <w:rFonts w:ascii="Times New Roman" w:eastAsia="宋体" w:hAnsi="Arial" w:cs="Arial" w:hint="eastAsia"/>
          <w:lang w:val="zh-CN" w:eastAsia="zh-CN"/>
        </w:rPr>
        <w:t>以</w:t>
      </w:r>
      <w:r w:rsidRPr="00466166">
        <w:rPr>
          <w:rFonts w:ascii="Times New Roman" w:eastAsia="宋体" w:hAnsi="Arial" w:cs="Arial" w:hint="eastAsia"/>
          <w:lang w:val="zh-CN" w:eastAsia="zh-CN"/>
        </w:rPr>
        <w:t>期提升金融体系动员私人资本参与绿色投资的能力，以帮助各国改善环境和应对气候变化。为了应对环境、</w:t>
      </w:r>
      <w:r w:rsidRPr="00F75863">
        <w:rPr>
          <w:rFonts w:ascii="Times New Roman" w:eastAsia="宋体" w:hAnsi="Times New Roman" w:cs="Arial" w:hint="eastAsia"/>
          <w:lang w:val="zh-CN" w:eastAsia="zh-CN"/>
        </w:rPr>
        <w:t>社会及</w:t>
      </w:r>
      <w:r w:rsidRPr="00466166">
        <w:rPr>
          <w:rFonts w:ascii="Times New Roman" w:eastAsia="宋体" w:hAnsi="Arial" w:cs="Arial" w:hint="eastAsia"/>
          <w:lang w:val="zh-CN" w:eastAsia="zh-CN"/>
        </w:rPr>
        <w:t>治理（</w:t>
      </w:r>
      <w:r w:rsidRPr="00466166">
        <w:rPr>
          <w:rFonts w:ascii="Times New Roman" w:eastAsia="宋体" w:hAnsi="Arial" w:cs="Arial" w:hint="eastAsia"/>
          <w:lang w:val="zh-CN" w:eastAsia="zh-CN"/>
        </w:rPr>
        <w:t>ESG</w:t>
      </w:r>
      <w:r w:rsidRPr="00466166">
        <w:rPr>
          <w:rFonts w:ascii="Times New Roman" w:eastAsia="宋体" w:hAnsi="Arial" w:cs="Arial" w:hint="eastAsia"/>
          <w:lang w:val="zh-CN" w:eastAsia="zh-CN"/>
        </w:rPr>
        <w:t>）挑战，规避重大环境风险，各利益相关方（包括国际组织、各国政府</w:t>
      </w:r>
      <w:r w:rsidRPr="00F2521D">
        <w:rPr>
          <w:rFonts w:ascii="Times New Roman" w:eastAsia="宋体" w:hAnsi="Arial" w:cs="Arial" w:hint="eastAsia"/>
          <w:lang w:val="zh-CN" w:eastAsia="zh-CN"/>
        </w:rPr>
        <w:t>、监管机构、金融部门、投资者和企业）必须共同努力，</w:t>
      </w:r>
      <w:r>
        <w:rPr>
          <w:rFonts w:ascii="Times New Roman" w:eastAsia="宋体" w:hAnsi="Arial" w:cs="Arial" w:hint="eastAsia"/>
          <w:lang w:val="zh-CN" w:eastAsia="zh-CN"/>
        </w:rPr>
        <w:t>来支持可持续发展</w:t>
      </w:r>
      <w:r w:rsidRPr="00F2521D">
        <w:rPr>
          <w:rFonts w:ascii="Times New Roman" w:eastAsia="宋体" w:hAnsi="Arial" w:cs="Arial" w:hint="eastAsia"/>
          <w:lang w:val="zh-CN" w:eastAsia="zh-CN"/>
        </w:rPr>
        <w:t>的</w:t>
      </w:r>
      <w:r>
        <w:rPr>
          <w:rFonts w:ascii="Times New Roman" w:eastAsia="宋体" w:hAnsi="Arial" w:cs="Arial" w:hint="eastAsia"/>
          <w:lang w:val="zh-CN" w:eastAsia="zh-CN"/>
        </w:rPr>
        <w:t>规划、</w:t>
      </w:r>
      <w:r w:rsidRPr="00F2521D">
        <w:rPr>
          <w:rFonts w:ascii="Times New Roman" w:eastAsia="宋体" w:hAnsi="Arial" w:cs="Arial" w:hint="eastAsia"/>
          <w:lang w:val="zh-CN" w:eastAsia="zh-CN"/>
        </w:rPr>
        <w:t>融资</w:t>
      </w:r>
      <w:r>
        <w:rPr>
          <w:rFonts w:ascii="Times New Roman" w:eastAsia="宋体" w:hAnsi="Arial" w:cs="Arial" w:hint="eastAsia"/>
          <w:lang w:val="zh-CN" w:eastAsia="zh-CN"/>
        </w:rPr>
        <w:t>和建设</w:t>
      </w:r>
      <w:r w:rsidRPr="00F2521D">
        <w:rPr>
          <w:rFonts w:ascii="Times New Roman" w:eastAsia="宋体" w:hAnsi="Arial" w:cs="Arial" w:hint="eastAsia"/>
          <w:lang w:val="zh-CN" w:eastAsia="zh-CN"/>
        </w:rPr>
        <w:t>。</w:t>
      </w:r>
      <w:r w:rsidRPr="00F2521D">
        <w:rPr>
          <w:rFonts w:ascii="Times New Roman" w:eastAsia="宋体" w:hAnsi="Times New Roman" w:cs="Arial"/>
          <w:lang w:val="zh-CN" w:eastAsia="zh-CN"/>
        </w:rPr>
        <w:t xml:space="preserve"> </w:t>
      </w:r>
    </w:p>
    <w:p w14:paraId="24A6D2F8" w14:textId="462D78BC" w:rsidR="005158DC" w:rsidRPr="00F2521D" w:rsidRDefault="005158DC" w:rsidP="007B7E34">
      <w:pPr>
        <w:spacing w:line="240" w:lineRule="auto"/>
        <w:ind w:firstLine="425"/>
        <w:jc w:val="both"/>
        <w:rPr>
          <w:rFonts w:ascii="Times New Roman" w:eastAsia="宋体" w:hAnsi="Times New Roman" w:cs="Arial"/>
          <w:lang w:val="zh-CN" w:eastAsia="zh-CN"/>
        </w:rPr>
      </w:pPr>
      <w:r w:rsidRPr="00F2521D">
        <w:rPr>
          <w:rFonts w:ascii="Times New Roman" w:eastAsia="宋体" w:hAnsi="Arial" w:cs="Arial" w:hint="eastAsia"/>
          <w:lang w:val="zh-CN" w:eastAsia="zh-CN"/>
        </w:rPr>
        <w:t>到</w:t>
      </w:r>
      <w:r w:rsidRPr="00F2521D">
        <w:rPr>
          <w:rFonts w:ascii="Times New Roman" w:eastAsia="宋体" w:hAnsi="Arial" w:cs="Arial"/>
          <w:lang w:val="zh-CN" w:eastAsia="zh-CN"/>
        </w:rPr>
        <w:t>2030</w:t>
      </w:r>
      <w:r w:rsidRPr="00F2521D">
        <w:rPr>
          <w:rFonts w:ascii="Times New Roman" w:eastAsia="宋体" w:hAnsi="Arial" w:cs="Arial" w:hint="eastAsia"/>
          <w:lang w:val="zh-CN" w:eastAsia="zh-CN"/>
        </w:rPr>
        <w:t>年，向环境可持续的低碳经济过渡面临的</w:t>
      </w:r>
      <w:r>
        <w:rPr>
          <w:rFonts w:ascii="Times New Roman" w:eastAsia="宋体" w:hAnsi="Arial" w:cs="Arial" w:hint="eastAsia"/>
          <w:lang w:val="zh-CN" w:eastAsia="zh-CN"/>
        </w:rPr>
        <w:t>全球</w:t>
      </w:r>
      <w:r w:rsidRPr="00F2521D">
        <w:rPr>
          <w:rFonts w:ascii="Times New Roman" w:eastAsia="宋体" w:hAnsi="Arial" w:cs="Arial" w:hint="eastAsia"/>
          <w:lang w:val="zh-CN" w:eastAsia="zh-CN"/>
        </w:rPr>
        <w:t>融资缺口预计超过</w:t>
      </w:r>
      <w:r w:rsidRPr="00F2521D">
        <w:rPr>
          <w:rFonts w:ascii="Times New Roman" w:eastAsia="宋体" w:hAnsi="Times New Roman" w:cs="Arial"/>
          <w:lang w:val="zh-CN" w:eastAsia="zh-CN"/>
        </w:rPr>
        <w:t>90</w:t>
      </w:r>
      <w:proofErr w:type="gramStart"/>
      <w:r w:rsidRPr="00F2521D">
        <w:rPr>
          <w:rFonts w:ascii="Times New Roman" w:eastAsia="宋体" w:hAnsi="Arial" w:cs="Arial" w:hint="eastAsia"/>
          <w:lang w:val="zh-CN" w:eastAsia="zh-CN"/>
        </w:rPr>
        <w:t>万亿</w:t>
      </w:r>
      <w:proofErr w:type="gramEnd"/>
      <w:r w:rsidRPr="00F2521D">
        <w:rPr>
          <w:rFonts w:ascii="Times New Roman" w:eastAsia="宋体" w:hAnsi="Arial" w:cs="Arial" w:hint="eastAsia"/>
          <w:lang w:val="zh-CN" w:eastAsia="zh-CN"/>
        </w:rPr>
        <w:t>美元</w:t>
      </w:r>
      <w:r>
        <w:rPr>
          <w:rFonts w:ascii="Times New Roman" w:eastAsia="宋体" w:hAnsi="Arial" w:cs="Arial" w:hint="eastAsia"/>
          <w:lang w:val="zh-CN" w:eastAsia="zh-CN"/>
        </w:rPr>
        <w:t>。</w:t>
      </w:r>
      <w:r w:rsidRPr="00F2521D">
        <w:rPr>
          <w:rFonts w:ascii="Times New Roman" w:eastAsia="宋体" w:hAnsi="Arial" w:cs="Arial" w:hint="eastAsia"/>
          <w:lang w:val="zh-CN" w:eastAsia="zh-CN"/>
        </w:rPr>
        <w:t>环境恶化和</w:t>
      </w:r>
      <w:r>
        <w:rPr>
          <w:rFonts w:ascii="Times New Roman" w:eastAsia="宋体" w:hAnsi="Arial" w:cs="Arial" w:hint="eastAsia"/>
          <w:lang w:val="zh-CN" w:eastAsia="zh-CN"/>
        </w:rPr>
        <w:t>气候变暖会对人类和经济产生巨大</w:t>
      </w:r>
      <w:r w:rsidRPr="00F2521D">
        <w:rPr>
          <w:rFonts w:ascii="Times New Roman" w:eastAsia="宋体" w:hAnsi="Arial" w:cs="Arial" w:hint="eastAsia"/>
          <w:lang w:val="zh-CN" w:eastAsia="zh-CN"/>
        </w:rPr>
        <w:t>风险，</w:t>
      </w:r>
      <w:r>
        <w:rPr>
          <w:rFonts w:ascii="Times New Roman" w:eastAsia="宋体" w:hAnsi="Arial" w:cs="Arial" w:hint="eastAsia"/>
          <w:lang w:val="zh-CN" w:eastAsia="zh-CN"/>
        </w:rPr>
        <w:t>但如果能够有效管理这些风险，</w:t>
      </w:r>
      <w:r w:rsidRPr="00F75863">
        <w:rPr>
          <w:rFonts w:ascii="Times New Roman" w:eastAsia="宋体" w:hAnsi="Times New Roman" w:cs="Arial" w:hint="eastAsia"/>
          <w:lang w:val="zh-CN" w:eastAsia="zh-CN"/>
        </w:rPr>
        <w:t>在积极发展可持续经济</w:t>
      </w:r>
      <w:r>
        <w:rPr>
          <w:rFonts w:ascii="Times New Roman" w:eastAsia="宋体" w:hAnsi="Arial" w:cs="Arial" w:hint="eastAsia"/>
          <w:lang w:val="zh-CN" w:eastAsia="zh-CN"/>
        </w:rPr>
        <w:t>的过程中也会出现许多</w:t>
      </w:r>
      <w:r w:rsidRPr="00F2521D">
        <w:rPr>
          <w:rFonts w:ascii="Times New Roman" w:eastAsia="宋体" w:hAnsi="Arial" w:cs="Arial" w:hint="eastAsia"/>
          <w:lang w:val="zh-CN" w:eastAsia="zh-CN"/>
        </w:rPr>
        <w:t>工作和技术创新</w:t>
      </w:r>
      <w:r>
        <w:rPr>
          <w:rFonts w:ascii="Times New Roman" w:eastAsia="宋体" w:hAnsi="Arial" w:cs="Arial" w:hint="eastAsia"/>
          <w:lang w:val="zh-CN" w:eastAsia="zh-CN"/>
        </w:rPr>
        <w:t>的机会</w:t>
      </w:r>
      <w:r w:rsidRPr="00F2521D">
        <w:rPr>
          <w:rFonts w:ascii="Times New Roman" w:eastAsia="宋体" w:hAnsi="Arial" w:cs="Arial" w:hint="eastAsia"/>
          <w:lang w:val="zh-CN" w:eastAsia="zh-CN"/>
        </w:rPr>
        <w:t>。</w:t>
      </w:r>
      <w:r>
        <w:rPr>
          <w:rFonts w:ascii="Times New Roman" w:eastAsia="宋体" w:hAnsi="Arial" w:cs="Arial" w:hint="eastAsia"/>
          <w:lang w:val="zh-CN" w:eastAsia="zh-CN"/>
        </w:rPr>
        <w:t>当前，全球</w:t>
      </w:r>
      <w:r w:rsidRPr="00F2521D">
        <w:rPr>
          <w:rFonts w:ascii="Times New Roman" w:eastAsia="宋体" w:hAnsi="Arial" w:cs="Arial" w:hint="eastAsia"/>
          <w:lang w:val="zh-CN" w:eastAsia="zh-CN"/>
        </w:rPr>
        <w:t>虽然涌现出了许多</w:t>
      </w:r>
      <w:r>
        <w:rPr>
          <w:rFonts w:ascii="Times New Roman" w:eastAsia="宋体" w:hAnsi="Arial" w:cs="Arial" w:hint="eastAsia"/>
          <w:lang w:val="zh-CN" w:eastAsia="zh-CN"/>
        </w:rPr>
        <w:t>倡议研究如何更</w:t>
      </w:r>
      <w:r w:rsidRPr="00F2521D">
        <w:rPr>
          <w:rFonts w:ascii="Times New Roman" w:eastAsia="宋体" w:hAnsi="Arial" w:cs="Arial" w:hint="eastAsia"/>
          <w:lang w:val="zh-CN" w:eastAsia="zh-CN"/>
        </w:rPr>
        <w:t>好地募集所需的万亿</w:t>
      </w:r>
      <w:r>
        <w:rPr>
          <w:rFonts w:ascii="Times New Roman" w:eastAsia="宋体" w:hAnsi="Arial" w:cs="Arial" w:hint="eastAsia"/>
          <w:lang w:val="zh-CN" w:eastAsia="zh-CN"/>
        </w:rPr>
        <w:t>美元</w:t>
      </w:r>
      <w:r w:rsidRPr="00F2521D">
        <w:rPr>
          <w:rFonts w:ascii="Times New Roman" w:eastAsia="宋体" w:hAnsi="Arial" w:cs="Arial" w:hint="eastAsia"/>
          <w:lang w:val="zh-CN" w:eastAsia="zh-CN"/>
        </w:rPr>
        <w:t>资金</w:t>
      </w:r>
      <w:r>
        <w:rPr>
          <w:rFonts w:ascii="Times New Roman" w:eastAsia="宋体" w:hAnsi="Arial" w:cs="Arial" w:hint="eastAsia"/>
          <w:lang w:val="zh-CN" w:eastAsia="zh-CN"/>
        </w:rPr>
        <w:t>，</w:t>
      </w:r>
      <w:r w:rsidRPr="00F2521D">
        <w:rPr>
          <w:rFonts w:ascii="Times New Roman" w:eastAsia="宋体" w:hAnsi="Arial" w:cs="Arial" w:hint="eastAsia"/>
          <w:lang w:val="zh-CN" w:eastAsia="zh-CN"/>
        </w:rPr>
        <w:t>并推动可持续发展带来的机会，但仍有</w:t>
      </w:r>
      <w:r>
        <w:rPr>
          <w:rFonts w:ascii="Times New Roman" w:eastAsia="宋体" w:hAnsi="Arial" w:cs="Arial" w:hint="eastAsia"/>
          <w:lang w:val="zh-CN" w:eastAsia="zh-CN"/>
        </w:rPr>
        <w:t>诸多</w:t>
      </w:r>
      <w:r w:rsidRPr="00F2521D">
        <w:rPr>
          <w:rFonts w:ascii="Times New Roman" w:eastAsia="宋体" w:hAnsi="Arial" w:cs="Arial" w:hint="eastAsia"/>
          <w:lang w:val="zh-CN" w:eastAsia="zh-CN"/>
        </w:rPr>
        <w:t>重大挑战。</w:t>
      </w:r>
    </w:p>
    <w:p w14:paraId="2EF83CA0" w14:textId="77777777" w:rsidR="005158DC" w:rsidRPr="00F2521D" w:rsidRDefault="005158DC" w:rsidP="007B7E34">
      <w:pPr>
        <w:spacing w:line="240" w:lineRule="auto"/>
        <w:ind w:firstLine="425"/>
        <w:jc w:val="both"/>
        <w:rPr>
          <w:rFonts w:ascii="Times New Roman" w:eastAsia="宋体" w:hAnsi="Times New Roman" w:cs="Arial"/>
          <w:lang w:val="zh-CN" w:eastAsia="zh-CN"/>
        </w:rPr>
      </w:pPr>
      <w:r w:rsidRPr="00F2521D">
        <w:rPr>
          <w:rFonts w:ascii="Times New Roman" w:eastAsia="宋体" w:hAnsi="Times New Roman" w:cs="Arial" w:hint="eastAsia"/>
          <w:lang w:val="zh-CN" w:eastAsia="zh-CN"/>
        </w:rPr>
        <w:t>中国</w:t>
      </w:r>
      <w:r>
        <w:rPr>
          <w:rFonts w:ascii="Times New Roman" w:eastAsia="宋体" w:hAnsi="Times New Roman" w:cs="Arial" w:hint="eastAsia"/>
          <w:lang w:val="zh-CN" w:eastAsia="zh-CN"/>
        </w:rPr>
        <w:t>和英国处在这些全球努力的</w:t>
      </w:r>
      <w:r w:rsidRPr="00F2521D">
        <w:rPr>
          <w:rFonts w:ascii="Times New Roman" w:eastAsia="宋体" w:hAnsi="Times New Roman" w:cs="Arial" w:hint="eastAsia"/>
          <w:lang w:val="zh-CN" w:eastAsia="zh-CN"/>
        </w:rPr>
        <w:t>前</w:t>
      </w:r>
      <w:r>
        <w:rPr>
          <w:rFonts w:ascii="Times New Roman" w:eastAsia="宋体" w:hAnsi="Times New Roman" w:cs="Arial" w:hint="eastAsia"/>
          <w:lang w:val="zh-CN" w:eastAsia="zh-CN"/>
        </w:rPr>
        <w:t>沿</w:t>
      </w:r>
      <w:r w:rsidRPr="00F2521D">
        <w:rPr>
          <w:rFonts w:ascii="Times New Roman" w:eastAsia="宋体" w:hAnsi="Times New Roman" w:cs="Arial" w:hint="eastAsia"/>
          <w:lang w:val="zh-CN" w:eastAsia="zh-CN"/>
        </w:rPr>
        <w:t>。中国</w:t>
      </w:r>
      <w:r w:rsidRPr="00466166">
        <w:rPr>
          <w:rFonts w:ascii="Times New Roman" w:eastAsia="宋体" w:hAnsi="Times New Roman" w:cs="Arial" w:hint="eastAsia"/>
          <w:lang w:val="zh-CN" w:eastAsia="zh-CN"/>
        </w:rPr>
        <w:t>发布的《关于构建绿色金融体系的指导意见》，推出的支持绿色金融发展的各种激励机制和产品创新，最近</w:t>
      </w:r>
      <w:r>
        <w:rPr>
          <w:rFonts w:ascii="Times New Roman" w:eastAsia="宋体" w:hAnsi="Times New Roman" w:cs="Arial" w:hint="eastAsia"/>
          <w:lang w:val="zh-CN" w:eastAsia="zh-CN"/>
        </w:rPr>
        <w:t>启动的绿色金要融地方试点均表明，中国将在“十三五”期间创造一个具有活力的和能够全面覆盖各种金融工具的绿色金融体系。</w:t>
      </w:r>
      <w:r w:rsidRPr="00F2521D">
        <w:rPr>
          <w:rFonts w:ascii="Times New Roman" w:eastAsia="宋体" w:hAnsi="Times New Roman" w:cs="Arial" w:hint="eastAsia"/>
          <w:lang w:val="zh-CN" w:eastAsia="zh-CN"/>
        </w:rPr>
        <w:t>在英国，英格兰银行率先对环境风险的影响开展了研究，同时英国政</w:t>
      </w:r>
      <w:r>
        <w:rPr>
          <w:rFonts w:ascii="Times New Roman" w:eastAsia="宋体" w:hAnsi="Times New Roman" w:cs="Arial" w:hint="eastAsia"/>
          <w:lang w:val="zh-CN" w:eastAsia="zh-CN"/>
        </w:rPr>
        <w:t>府也与业界开展</w:t>
      </w:r>
      <w:r w:rsidRPr="00F2521D">
        <w:rPr>
          <w:rFonts w:ascii="Times New Roman" w:eastAsia="宋体" w:hAnsi="Times New Roman" w:cs="Arial" w:hint="eastAsia"/>
          <w:lang w:val="zh-CN" w:eastAsia="zh-CN"/>
        </w:rPr>
        <w:t>合作，</w:t>
      </w:r>
      <w:r>
        <w:rPr>
          <w:rFonts w:ascii="Times New Roman" w:eastAsia="宋体" w:hAnsi="Times New Roman" w:cs="Arial" w:hint="eastAsia"/>
          <w:lang w:val="zh-CN" w:eastAsia="zh-CN"/>
        </w:rPr>
        <w:t>充分发挥</w:t>
      </w:r>
      <w:r w:rsidRPr="00F2521D">
        <w:rPr>
          <w:rFonts w:ascii="Times New Roman" w:eastAsia="宋体" w:hAnsi="Times New Roman" w:cs="Arial" w:hint="eastAsia"/>
          <w:lang w:val="zh-CN" w:eastAsia="zh-CN"/>
        </w:rPr>
        <w:t>伦敦的金融专业</w:t>
      </w:r>
      <w:r>
        <w:rPr>
          <w:rFonts w:ascii="Times New Roman" w:eastAsia="宋体" w:hAnsi="Times New Roman" w:cs="Arial" w:hint="eastAsia"/>
          <w:lang w:val="zh-CN" w:eastAsia="zh-CN"/>
        </w:rPr>
        <w:t>能力</w:t>
      </w:r>
      <w:r w:rsidRPr="00F2521D">
        <w:rPr>
          <w:rFonts w:ascii="Times New Roman" w:eastAsia="宋体" w:hAnsi="Times New Roman" w:cs="Arial" w:hint="eastAsia"/>
          <w:lang w:val="zh-CN" w:eastAsia="zh-CN"/>
        </w:rPr>
        <w:t>，</w:t>
      </w:r>
      <w:r>
        <w:rPr>
          <w:rFonts w:ascii="Times New Roman" w:eastAsia="宋体" w:hAnsi="Times New Roman" w:cs="Arial" w:hint="eastAsia"/>
          <w:lang w:val="zh-CN" w:eastAsia="zh-CN"/>
        </w:rPr>
        <w:t>将伦敦定位为一个重要的</w:t>
      </w:r>
      <w:r w:rsidRPr="00F2521D">
        <w:rPr>
          <w:rFonts w:ascii="Times New Roman" w:eastAsia="宋体" w:hAnsi="Times New Roman" w:cs="Arial" w:hint="eastAsia"/>
          <w:lang w:val="zh-CN" w:eastAsia="zh-CN"/>
        </w:rPr>
        <w:t>国际绿色金融中心。</w:t>
      </w:r>
      <w:r w:rsidRPr="00F2521D" w:rsidDel="00843D0A">
        <w:rPr>
          <w:rFonts w:ascii="Times New Roman" w:eastAsia="宋体" w:hAnsi="Times New Roman" w:cs="Arial"/>
          <w:lang w:val="zh-CN" w:eastAsia="zh-CN"/>
        </w:rPr>
        <w:t xml:space="preserve"> </w:t>
      </w:r>
    </w:p>
    <w:p w14:paraId="043A9960" w14:textId="77777777" w:rsidR="005158DC" w:rsidRPr="00F2521D" w:rsidRDefault="005158DC" w:rsidP="007B7E34">
      <w:pPr>
        <w:spacing w:line="240" w:lineRule="auto"/>
        <w:ind w:firstLine="425"/>
        <w:jc w:val="both"/>
        <w:rPr>
          <w:rFonts w:ascii="Times New Roman" w:eastAsia="宋体" w:hAnsi="Times New Roman" w:cs="Arial"/>
          <w:lang w:val="zh-CN" w:eastAsia="zh-CN"/>
        </w:rPr>
      </w:pPr>
      <w:r>
        <w:rPr>
          <w:rFonts w:ascii="Times New Roman" w:eastAsia="宋体" w:hAnsi="Arial" w:cs="Arial" w:hint="eastAsia"/>
          <w:lang w:val="zh-CN" w:eastAsia="zh-CN"/>
        </w:rPr>
        <w:t>中英</w:t>
      </w:r>
      <w:r w:rsidRPr="00F2521D">
        <w:rPr>
          <w:rFonts w:ascii="Times New Roman" w:eastAsia="宋体" w:hAnsi="Arial" w:cs="Arial" w:hint="eastAsia"/>
          <w:lang w:val="zh-CN" w:eastAsia="zh-CN"/>
        </w:rPr>
        <w:t>绿色金融工作组由中国</w:t>
      </w:r>
      <w:r>
        <w:rPr>
          <w:rFonts w:ascii="Times New Roman" w:eastAsia="宋体" w:hAnsi="Arial" w:cs="Arial" w:hint="eastAsia"/>
          <w:lang w:val="zh-CN" w:eastAsia="zh-CN"/>
        </w:rPr>
        <w:t>金融学会绿色金融专业委员会</w:t>
      </w:r>
      <w:r w:rsidRPr="00F2521D">
        <w:rPr>
          <w:rFonts w:ascii="Times New Roman" w:eastAsia="宋体" w:hAnsi="Arial" w:cs="Arial" w:hint="eastAsia"/>
          <w:lang w:val="zh-CN" w:eastAsia="zh-CN"/>
        </w:rPr>
        <w:t>和</w:t>
      </w:r>
      <w:r>
        <w:rPr>
          <w:rFonts w:ascii="Times New Roman" w:eastAsia="宋体" w:hAnsi="Arial" w:cs="Arial" w:hint="eastAsia"/>
          <w:lang w:val="zh-CN" w:eastAsia="zh-CN"/>
        </w:rPr>
        <w:t>伦敦金融城绿色金融倡议发起</w:t>
      </w:r>
      <w:r w:rsidRPr="00F2521D">
        <w:rPr>
          <w:rFonts w:ascii="Times New Roman" w:eastAsia="宋体" w:hAnsi="Arial" w:cs="Arial" w:hint="eastAsia"/>
          <w:lang w:val="zh-CN" w:eastAsia="zh-CN"/>
        </w:rPr>
        <w:t>，聚集了一群顶级行业和政策专家，</w:t>
      </w:r>
      <w:r>
        <w:rPr>
          <w:rFonts w:ascii="Times New Roman" w:eastAsia="宋体" w:hAnsi="Arial" w:cs="Arial" w:hint="eastAsia"/>
          <w:lang w:val="zh-CN" w:eastAsia="zh-CN"/>
        </w:rPr>
        <w:t>提出了一系列</w:t>
      </w:r>
      <w:r w:rsidRPr="00F2521D">
        <w:rPr>
          <w:rFonts w:ascii="Times New Roman" w:eastAsia="宋体" w:hAnsi="Arial" w:cs="Arial" w:hint="eastAsia"/>
          <w:lang w:val="zh-CN" w:eastAsia="zh-CN"/>
        </w:rPr>
        <w:t>以市场为导向的解决方案，</w:t>
      </w:r>
      <w:r>
        <w:rPr>
          <w:rFonts w:ascii="Times New Roman" w:eastAsia="宋体" w:hAnsi="Arial" w:cs="Arial" w:hint="eastAsia"/>
          <w:lang w:val="zh-CN" w:eastAsia="zh-CN"/>
        </w:rPr>
        <w:t>以期帮助在全球范围内扩大绿色投融资</w:t>
      </w:r>
      <w:r w:rsidRPr="00F2521D">
        <w:rPr>
          <w:rFonts w:ascii="Times New Roman" w:eastAsia="宋体" w:hAnsi="Arial" w:cs="Arial" w:hint="eastAsia"/>
          <w:lang w:val="zh-CN" w:eastAsia="zh-CN"/>
        </w:rPr>
        <w:t>规模，</w:t>
      </w:r>
      <w:r>
        <w:rPr>
          <w:rFonts w:ascii="Times New Roman" w:eastAsia="宋体" w:hAnsi="Arial" w:cs="Arial" w:hint="eastAsia"/>
          <w:lang w:val="zh-CN" w:eastAsia="zh-CN"/>
        </w:rPr>
        <w:t>支持全球经济有效应对环境</w:t>
      </w:r>
      <w:r w:rsidRPr="00F2521D">
        <w:rPr>
          <w:rFonts w:ascii="Times New Roman" w:eastAsia="宋体" w:hAnsi="Arial" w:cs="Arial" w:hint="eastAsia"/>
          <w:lang w:val="zh-CN" w:eastAsia="zh-CN"/>
        </w:rPr>
        <w:t>和气候变化。本报告确定了</w:t>
      </w:r>
      <w:r>
        <w:rPr>
          <w:rFonts w:ascii="Times New Roman" w:eastAsia="宋体" w:hAnsi="Arial" w:cs="Arial" w:hint="eastAsia"/>
          <w:lang w:val="zh-CN" w:eastAsia="zh-CN"/>
        </w:rPr>
        <w:t>五</w:t>
      </w:r>
      <w:r w:rsidRPr="00F2521D">
        <w:rPr>
          <w:rFonts w:ascii="Times New Roman" w:eastAsia="宋体" w:hAnsi="Arial" w:cs="Arial" w:hint="eastAsia"/>
          <w:lang w:val="zh-CN" w:eastAsia="zh-CN"/>
        </w:rPr>
        <w:t>个与可持续金融和投资</w:t>
      </w:r>
      <w:r>
        <w:rPr>
          <w:rFonts w:ascii="Times New Roman" w:eastAsia="宋体" w:hAnsi="Arial" w:cs="Arial" w:hint="eastAsia"/>
          <w:lang w:val="zh-CN" w:eastAsia="zh-CN"/>
        </w:rPr>
        <w:t>有关的研究议题</w:t>
      </w:r>
      <w:r w:rsidRPr="00F2521D">
        <w:rPr>
          <w:rFonts w:ascii="Times New Roman" w:eastAsia="宋体" w:hAnsi="Arial" w:cs="Arial" w:hint="eastAsia"/>
          <w:lang w:val="zh-CN" w:eastAsia="zh-CN"/>
        </w:rPr>
        <w:t>，并希望</w:t>
      </w:r>
      <w:r>
        <w:rPr>
          <w:rFonts w:ascii="Times New Roman" w:eastAsia="宋体" w:hAnsi="Arial" w:cs="Arial" w:hint="eastAsia"/>
          <w:lang w:val="zh-CN" w:eastAsia="zh-CN"/>
        </w:rPr>
        <w:t>针对</w:t>
      </w:r>
      <w:r w:rsidRPr="00F2521D">
        <w:rPr>
          <w:rFonts w:ascii="Times New Roman" w:eastAsia="宋体" w:hAnsi="Arial" w:cs="Arial" w:hint="eastAsia"/>
          <w:lang w:val="zh-CN" w:eastAsia="zh-CN"/>
        </w:rPr>
        <w:t>每个</w:t>
      </w:r>
      <w:r>
        <w:rPr>
          <w:rFonts w:ascii="Times New Roman" w:eastAsia="宋体" w:hAnsi="Arial" w:cs="Arial" w:hint="eastAsia"/>
          <w:lang w:val="zh-CN" w:eastAsia="zh-CN"/>
        </w:rPr>
        <w:t>议题提出</w:t>
      </w:r>
      <w:r w:rsidRPr="00F2521D">
        <w:rPr>
          <w:rFonts w:ascii="Times New Roman" w:eastAsia="宋体" w:hAnsi="Arial" w:cs="Arial" w:hint="eastAsia"/>
          <w:lang w:val="zh-CN" w:eastAsia="zh-CN"/>
        </w:rPr>
        <w:t>具有可操作性的建议。</w:t>
      </w:r>
      <w:r w:rsidRPr="00F2521D">
        <w:rPr>
          <w:rFonts w:ascii="Times New Roman" w:eastAsia="宋体" w:hAnsi="Arial" w:cs="Arial"/>
          <w:lang w:val="zh-CN" w:eastAsia="zh-CN"/>
        </w:rPr>
        <w:t xml:space="preserve">  </w:t>
      </w:r>
    </w:p>
    <w:p w14:paraId="571AA3C8" w14:textId="77777777" w:rsidR="005158DC" w:rsidRPr="00F2521D" w:rsidRDefault="005158DC" w:rsidP="007B7E34">
      <w:pPr>
        <w:spacing w:line="240" w:lineRule="auto"/>
        <w:ind w:firstLine="425"/>
        <w:jc w:val="both"/>
        <w:rPr>
          <w:rFonts w:ascii="Times New Roman" w:eastAsia="宋体" w:hAnsi="Times New Roman" w:cs="Arial"/>
          <w:lang w:val="zh-CN" w:eastAsia="zh-CN"/>
        </w:rPr>
      </w:pPr>
      <w:r w:rsidRPr="00F75863">
        <w:rPr>
          <w:rFonts w:ascii="Times New Roman" w:eastAsia="宋体" w:hAnsi="Arial" w:cs="Arial" w:hint="eastAsia"/>
          <w:lang w:val="zh-CN" w:eastAsia="zh-CN"/>
        </w:rPr>
        <w:t>五个议题小组在开</w:t>
      </w:r>
      <w:r>
        <w:rPr>
          <w:rFonts w:ascii="Times New Roman" w:eastAsia="宋体" w:hAnsi="Times New Roman" w:cs="Arial" w:hint="eastAsia"/>
          <w:lang w:val="zh-CN" w:eastAsia="zh-CN"/>
        </w:rPr>
        <w:t>展中英</w:t>
      </w:r>
      <w:r w:rsidRPr="00F2521D">
        <w:rPr>
          <w:rFonts w:ascii="Times New Roman" w:eastAsia="宋体" w:hAnsi="Times New Roman" w:cs="Arial" w:hint="eastAsia"/>
          <w:lang w:val="zh-CN" w:eastAsia="zh-CN"/>
        </w:rPr>
        <w:t>共同研究期间，识别了若干</w:t>
      </w:r>
      <w:r>
        <w:rPr>
          <w:rFonts w:ascii="Times New Roman" w:eastAsia="宋体" w:hAnsi="Times New Roman" w:cs="Arial" w:hint="eastAsia"/>
          <w:lang w:val="zh-CN" w:eastAsia="zh-CN"/>
        </w:rPr>
        <w:t>绿色金融所面临的主要挑战。这些挑战</w:t>
      </w:r>
      <w:r w:rsidRPr="00DF1460">
        <w:rPr>
          <w:rFonts w:ascii="Times New Roman" w:hAnsi="Times New Roman" w:hint="eastAsia"/>
          <w:lang w:val="zh-CN" w:eastAsia="zh-CN"/>
        </w:rPr>
        <w:t>包括：</w:t>
      </w:r>
    </w:p>
    <w:p w14:paraId="340A1A6E" w14:textId="6F839150" w:rsidR="005158DC" w:rsidRPr="00AA7997" w:rsidRDefault="005158DC" w:rsidP="005158DC">
      <w:pPr>
        <w:numPr>
          <w:ilvl w:val="0"/>
          <w:numId w:val="2"/>
        </w:numPr>
        <w:spacing w:after="0" w:line="240" w:lineRule="auto"/>
        <w:rPr>
          <w:rFonts w:ascii="Times New Roman" w:eastAsia="宋体" w:hAnsi="Times New Roman" w:cs="Arial"/>
          <w:lang w:val="zh-CN" w:eastAsia="zh-CN"/>
        </w:rPr>
      </w:pPr>
      <w:r w:rsidRPr="00F2521D">
        <w:rPr>
          <w:rFonts w:ascii="Times New Roman" w:eastAsia="宋体" w:hAnsi="Arial" w:cs="Arial" w:hint="eastAsia"/>
          <w:lang w:val="zh-CN" w:eastAsia="zh-CN"/>
        </w:rPr>
        <w:t>许多银行</w:t>
      </w:r>
      <w:r>
        <w:rPr>
          <w:rFonts w:ascii="Times New Roman" w:eastAsia="宋体" w:hAnsi="Arial" w:cs="Arial" w:hint="eastAsia"/>
          <w:lang w:val="zh-CN" w:eastAsia="zh-CN"/>
        </w:rPr>
        <w:t>和机构投资者还缺乏在</w:t>
      </w:r>
      <w:r w:rsidRPr="00F2521D">
        <w:rPr>
          <w:rFonts w:ascii="Times New Roman" w:eastAsia="宋体" w:hAnsi="Arial" w:cs="Arial" w:hint="eastAsia"/>
          <w:lang w:val="zh-CN" w:eastAsia="zh-CN"/>
        </w:rPr>
        <w:t>投资</w:t>
      </w:r>
      <w:r>
        <w:rPr>
          <w:rFonts w:ascii="Times New Roman" w:eastAsia="宋体" w:hAnsi="Arial" w:cs="Arial" w:hint="eastAsia"/>
          <w:lang w:val="zh-CN" w:eastAsia="zh-CN"/>
        </w:rPr>
        <w:t>过程中</w:t>
      </w:r>
      <w:r w:rsidRPr="00F2521D">
        <w:rPr>
          <w:rFonts w:ascii="Times New Roman" w:eastAsia="宋体" w:hAnsi="Arial" w:cs="Arial" w:hint="eastAsia"/>
          <w:lang w:val="zh-CN" w:eastAsia="zh-CN"/>
        </w:rPr>
        <w:t>对</w:t>
      </w:r>
      <w:r w:rsidRPr="00F2521D">
        <w:rPr>
          <w:rFonts w:ascii="Times New Roman" w:eastAsia="宋体" w:hAnsi="Arial" w:cs="Arial"/>
          <w:lang w:val="zh-CN" w:eastAsia="zh-CN"/>
        </w:rPr>
        <w:t>ESG</w:t>
      </w:r>
      <w:r w:rsidRPr="00F2521D">
        <w:rPr>
          <w:rFonts w:ascii="Times New Roman" w:eastAsia="宋体" w:hAnsi="Arial" w:cs="Arial" w:hint="eastAsia"/>
          <w:lang w:val="zh-CN" w:eastAsia="zh-CN"/>
        </w:rPr>
        <w:t>风险进行一致、准确的评估和定价</w:t>
      </w:r>
      <w:r>
        <w:rPr>
          <w:rFonts w:ascii="Times New Roman" w:eastAsia="宋体" w:hAnsi="Arial" w:cs="Arial" w:hint="eastAsia"/>
          <w:lang w:val="zh-CN" w:eastAsia="zh-CN"/>
        </w:rPr>
        <w:t>的能力</w:t>
      </w:r>
      <w:r w:rsidRPr="00F2521D">
        <w:rPr>
          <w:rFonts w:ascii="Times New Roman" w:eastAsia="宋体" w:hAnsi="Arial" w:cs="Arial" w:hint="eastAsia"/>
          <w:lang w:val="zh-CN" w:eastAsia="zh-CN"/>
        </w:rPr>
        <w:t>。</w:t>
      </w:r>
      <w:r>
        <w:rPr>
          <w:rFonts w:ascii="Times New Roman" w:eastAsia="宋体" w:hAnsi="Arial" w:cs="Arial" w:hint="eastAsia"/>
          <w:lang w:val="zh-CN" w:eastAsia="zh-CN"/>
        </w:rPr>
        <w:t>这</w:t>
      </w:r>
      <w:r w:rsidR="007B7E34">
        <w:rPr>
          <w:rFonts w:ascii="Times New Roman" w:eastAsia="宋体" w:hAnsi="Arial" w:cs="Arial" w:hint="eastAsia"/>
          <w:lang w:val="zh-CN" w:eastAsia="zh-CN"/>
        </w:rPr>
        <w:t>成为</w:t>
      </w:r>
      <w:r>
        <w:rPr>
          <w:rFonts w:ascii="Times New Roman" w:eastAsia="宋体" w:hAnsi="Arial" w:cs="Arial" w:hint="eastAsia"/>
          <w:lang w:val="zh-CN" w:eastAsia="zh-CN"/>
        </w:rPr>
        <w:t>社会资本进入</w:t>
      </w:r>
      <w:r w:rsidRPr="000735F0">
        <w:rPr>
          <w:rFonts w:ascii="Times New Roman" w:eastAsia="宋体" w:hAnsi="Arial" w:cs="Arial" w:hint="eastAsia"/>
          <w:lang w:val="zh-CN" w:eastAsia="zh-CN"/>
        </w:rPr>
        <w:t>绿色</w:t>
      </w:r>
      <w:r>
        <w:rPr>
          <w:rFonts w:ascii="Times New Roman" w:eastAsia="宋体" w:hAnsi="Arial" w:cs="Arial" w:hint="eastAsia"/>
          <w:lang w:val="zh-CN" w:eastAsia="zh-CN"/>
        </w:rPr>
        <w:t>产业的一个重要</w:t>
      </w:r>
      <w:r w:rsidRPr="00D45A14">
        <w:rPr>
          <w:rFonts w:ascii="Times New Roman" w:eastAsia="宋体" w:hAnsi="Arial" w:cs="Arial" w:hint="eastAsia"/>
          <w:lang w:val="zh-CN" w:eastAsia="zh-CN"/>
        </w:rPr>
        <w:t>障碍。</w:t>
      </w:r>
    </w:p>
    <w:p w14:paraId="02A4C196" w14:textId="77777777" w:rsidR="005158DC" w:rsidRPr="00F36F8C" w:rsidRDefault="005158DC" w:rsidP="005158DC">
      <w:pPr>
        <w:numPr>
          <w:ilvl w:val="0"/>
          <w:numId w:val="2"/>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由于对“绿色”资产的</w:t>
      </w:r>
      <w:r w:rsidRPr="00F2521D">
        <w:rPr>
          <w:rFonts w:ascii="Times New Roman" w:eastAsia="宋体" w:hAnsi="Arial" w:cs="Arial" w:hint="eastAsia"/>
          <w:lang w:val="zh-CN" w:eastAsia="zh-CN"/>
        </w:rPr>
        <w:t>定义、</w:t>
      </w:r>
      <w:r>
        <w:rPr>
          <w:rFonts w:ascii="Times New Roman" w:eastAsia="宋体" w:hAnsi="Arial" w:cs="Arial" w:hint="eastAsia"/>
          <w:lang w:val="zh-CN" w:eastAsia="zh-CN"/>
        </w:rPr>
        <w:t>认证</w:t>
      </w:r>
      <w:r w:rsidRPr="00F2521D">
        <w:rPr>
          <w:rFonts w:ascii="Times New Roman" w:eastAsia="宋体" w:hAnsi="Arial" w:cs="Arial" w:hint="eastAsia"/>
          <w:lang w:val="zh-CN" w:eastAsia="zh-CN"/>
        </w:rPr>
        <w:t>和</w:t>
      </w:r>
      <w:r>
        <w:rPr>
          <w:rFonts w:ascii="Times New Roman" w:eastAsia="宋体" w:hAnsi="Arial" w:cs="Arial" w:hint="eastAsia"/>
          <w:lang w:val="zh-CN" w:eastAsia="zh-CN"/>
        </w:rPr>
        <w:t>评估方面的困难</w:t>
      </w:r>
      <w:r w:rsidRPr="00F2521D">
        <w:rPr>
          <w:rFonts w:ascii="Times New Roman" w:eastAsia="宋体" w:hAnsi="Arial" w:cs="Arial" w:hint="eastAsia"/>
          <w:lang w:val="zh-CN" w:eastAsia="zh-CN"/>
        </w:rPr>
        <w:t>以及诸多法律</w:t>
      </w:r>
      <w:r>
        <w:rPr>
          <w:rFonts w:ascii="Times New Roman" w:eastAsia="宋体" w:hAnsi="Arial" w:cs="Arial" w:hint="eastAsia"/>
          <w:lang w:val="zh-CN" w:eastAsia="zh-CN"/>
        </w:rPr>
        <w:t>问题，使得</w:t>
      </w:r>
      <w:r w:rsidRPr="00F2521D">
        <w:rPr>
          <w:rFonts w:ascii="Times New Roman" w:eastAsia="宋体" w:hAnsi="Arial" w:cs="Arial" w:hint="eastAsia"/>
          <w:lang w:val="zh-CN" w:eastAsia="zh-CN"/>
        </w:rPr>
        <w:t>绿色</w:t>
      </w:r>
      <w:r>
        <w:rPr>
          <w:rFonts w:ascii="Times New Roman" w:eastAsia="宋体" w:hAnsi="Arial" w:cs="Arial" w:hint="eastAsia"/>
          <w:lang w:val="zh-CN" w:eastAsia="zh-CN"/>
        </w:rPr>
        <w:t>资产</w:t>
      </w:r>
      <w:r w:rsidRPr="00F2521D">
        <w:rPr>
          <w:rFonts w:ascii="Times New Roman" w:eastAsia="宋体" w:hAnsi="Arial" w:cs="Arial" w:hint="eastAsia"/>
          <w:lang w:val="zh-CN" w:eastAsia="zh-CN"/>
        </w:rPr>
        <w:t>证券化</w:t>
      </w:r>
      <w:r>
        <w:rPr>
          <w:rFonts w:ascii="Times New Roman" w:eastAsia="宋体" w:hAnsi="Arial" w:cs="Arial" w:hint="eastAsia"/>
          <w:lang w:val="zh-CN" w:eastAsia="zh-CN"/>
        </w:rPr>
        <w:t>面临阻力</w:t>
      </w:r>
      <w:r w:rsidRPr="00F2521D">
        <w:rPr>
          <w:rFonts w:ascii="Times New Roman" w:eastAsia="宋体" w:hAnsi="Arial" w:cs="Arial" w:hint="eastAsia"/>
          <w:lang w:val="zh-CN" w:eastAsia="zh-CN"/>
        </w:rPr>
        <w:t>。</w:t>
      </w:r>
    </w:p>
    <w:p w14:paraId="05A33FE2" w14:textId="77777777" w:rsidR="005158DC" w:rsidRPr="00F36F8C" w:rsidRDefault="005158DC" w:rsidP="005158DC">
      <w:pPr>
        <w:numPr>
          <w:ilvl w:val="0"/>
          <w:numId w:val="2"/>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金融业还没有建立</w:t>
      </w:r>
      <w:r>
        <w:rPr>
          <w:rFonts w:ascii="Times New Roman" w:eastAsia="宋体" w:hAnsi="Arial" w:cs="Arial" w:hint="eastAsia"/>
          <w:lang w:val="zh-CN" w:eastAsia="zh-CN"/>
        </w:rPr>
        <w:t>ESG</w:t>
      </w:r>
      <w:r>
        <w:rPr>
          <w:rFonts w:ascii="Times New Roman" w:eastAsia="宋体" w:hAnsi="Arial" w:cs="Arial" w:hint="eastAsia"/>
          <w:lang w:val="zh-CN" w:eastAsia="zh-CN"/>
        </w:rPr>
        <w:t>因素与投资</w:t>
      </w:r>
      <w:r>
        <w:rPr>
          <w:rFonts w:ascii="Times New Roman" w:eastAsia="宋体" w:hAnsi="Arial" w:cs="Arial" w:hint="eastAsia"/>
          <w:lang w:val="zh-CN" w:eastAsia="zh-CN"/>
        </w:rPr>
        <w:t>/</w:t>
      </w:r>
      <w:r>
        <w:rPr>
          <w:rFonts w:ascii="Times New Roman" w:eastAsia="宋体" w:hAnsi="Arial" w:cs="Arial" w:hint="eastAsia"/>
          <w:lang w:val="zh-CN" w:eastAsia="zh-CN"/>
        </w:rPr>
        <w:t>信用风险及融资成本之间关系的研究方法学，未能有效证明更好的</w:t>
      </w:r>
      <w:r>
        <w:rPr>
          <w:rFonts w:ascii="Times New Roman" w:eastAsia="宋体" w:hAnsi="Arial" w:cs="Arial" w:hint="eastAsia"/>
          <w:lang w:val="zh-CN" w:eastAsia="zh-CN"/>
        </w:rPr>
        <w:t>ESG</w:t>
      </w:r>
      <w:r>
        <w:rPr>
          <w:rFonts w:ascii="Times New Roman" w:eastAsia="宋体" w:hAnsi="Arial" w:cs="Arial" w:hint="eastAsia"/>
          <w:lang w:val="zh-CN" w:eastAsia="zh-CN"/>
        </w:rPr>
        <w:t>表现可以为绿色企业带来较低的信用风险和融资成本。这方面的缺失制约了绿色投融资的市场潜力</w:t>
      </w:r>
      <w:r w:rsidRPr="00F2521D">
        <w:rPr>
          <w:rFonts w:ascii="Times New Roman" w:eastAsia="宋体" w:hAnsi="Arial" w:cs="Arial" w:hint="eastAsia"/>
          <w:lang w:val="zh-CN" w:eastAsia="zh-CN"/>
        </w:rPr>
        <w:t>。</w:t>
      </w:r>
    </w:p>
    <w:p w14:paraId="62D670E8" w14:textId="5764C89E" w:rsidR="005158DC" w:rsidRPr="00F2521D" w:rsidRDefault="007B7E34" w:rsidP="005158DC">
      <w:pPr>
        <w:numPr>
          <w:ilvl w:val="0"/>
          <w:numId w:val="2"/>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“一带一路”沿线</w:t>
      </w:r>
      <w:r w:rsidR="00F75863">
        <w:rPr>
          <w:rFonts w:ascii="Times New Roman" w:eastAsia="宋体" w:hAnsi="Arial" w:cs="Arial" w:hint="eastAsia"/>
          <w:lang w:val="zh-CN" w:eastAsia="zh-CN"/>
        </w:rPr>
        <w:t>需要</w:t>
      </w:r>
      <w:r>
        <w:rPr>
          <w:rFonts w:ascii="Times New Roman" w:eastAsia="宋体" w:hAnsi="Arial" w:cs="Arial" w:hint="eastAsia"/>
          <w:lang w:val="zh-CN" w:eastAsia="zh-CN"/>
        </w:rPr>
        <w:t>大量绿色基础设施投资，但其融资面临</w:t>
      </w:r>
      <w:r w:rsidR="005158DC">
        <w:rPr>
          <w:rFonts w:ascii="Times New Roman" w:eastAsia="宋体" w:hAnsi="Arial" w:cs="Arial" w:hint="eastAsia"/>
          <w:lang w:val="zh-CN" w:eastAsia="zh-CN"/>
        </w:rPr>
        <w:t>障碍，包括缺乏</w:t>
      </w:r>
      <w:r w:rsidR="005158DC" w:rsidRPr="00F2521D">
        <w:rPr>
          <w:rFonts w:ascii="Times New Roman" w:eastAsia="宋体" w:hAnsi="Arial" w:cs="Arial" w:hint="eastAsia"/>
          <w:lang w:val="zh-CN" w:eastAsia="zh-CN"/>
        </w:rPr>
        <w:t>绿色基础设施和项目融资标准</w:t>
      </w:r>
      <w:r w:rsidR="005158DC">
        <w:rPr>
          <w:rFonts w:ascii="Times New Roman" w:eastAsia="宋体" w:hAnsi="Arial" w:cs="Arial" w:hint="eastAsia"/>
          <w:lang w:val="zh-CN" w:eastAsia="zh-CN"/>
        </w:rPr>
        <w:t>、政治风险较高和缺乏债务融资渠道等</w:t>
      </w:r>
      <w:r w:rsidR="005158DC" w:rsidRPr="00F2521D">
        <w:rPr>
          <w:rFonts w:ascii="Times New Roman" w:eastAsia="宋体" w:hAnsi="Arial" w:cs="Arial" w:hint="eastAsia"/>
          <w:lang w:val="zh-CN" w:eastAsia="zh-CN"/>
        </w:rPr>
        <w:t>。</w:t>
      </w:r>
    </w:p>
    <w:p w14:paraId="0AAB30B9" w14:textId="4E191570" w:rsidR="005158DC" w:rsidRDefault="005158DC" w:rsidP="007B7E34">
      <w:pPr>
        <w:numPr>
          <w:ilvl w:val="0"/>
          <w:numId w:val="2"/>
        </w:numPr>
        <w:spacing w:after="0" w:line="240" w:lineRule="auto"/>
        <w:rPr>
          <w:rFonts w:ascii="Times New Roman" w:eastAsia="宋体" w:hAnsi="Times New Roman" w:cs="Arial"/>
          <w:lang w:val="zh-CN" w:eastAsia="zh-CN"/>
        </w:rPr>
      </w:pPr>
      <w:r>
        <w:rPr>
          <w:rFonts w:ascii="Times New Roman" w:eastAsia="宋体" w:hAnsi="Times New Roman" w:cs="Arial" w:hint="eastAsia"/>
          <w:lang w:val="zh-CN" w:eastAsia="zh-CN"/>
        </w:rPr>
        <w:t>中国发展和开放其绿色债券市场的潜力巨大，但一些障碍限制了外国投资者更广泛的参与。</w:t>
      </w:r>
      <w:r w:rsidRPr="00F2521D">
        <w:rPr>
          <w:rFonts w:ascii="Times New Roman" w:eastAsia="宋体" w:hAnsi="Times New Roman" w:cs="Arial"/>
          <w:lang w:val="zh-CN" w:eastAsia="zh-CN"/>
        </w:rPr>
        <w:t xml:space="preserve"> </w:t>
      </w:r>
      <w:r>
        <w:rPr>
          <w:rFonts w:ascii="Times New Roman" w:eastAsia="宋体" w:hAnsi="Times New Roman" w:cs="Arial" w:hint="eastAsia"/>
          <w:lang w:val="zh-CN" w:eastAsia="zh-CN"/>
        </w:rPr>
        <w:t>这些障碍包括不同市场间绿色债券定义和认证体系的差异、</w:t>
      </w:r>
      <w:r>
        <w:rPr>
          <w:rFonts w:ascii="Times New Roman" w:eastAsia="宋体" w:hAnsi="Times New Roman" w:cs="Arial" w:hint="eastAsia"/>
          <w:lang w:val="zh-CN" w:eastAsia="zh-CN"/>
        </w:rPr>
        <w:lastRenderedPageBreak/>
        <w:t>缺乏关于</w:t>
      </w:r>
      <w:proofErr w:type="gramStart"/>
      <w:r>
        <w:rPr>
          <w:rFonts w:ascii="Times New Roman" w:eastAsia="宋体" w:hAnsi="Times New Roman" w:cs="Arial" w:hint="eastAsia"/>
          <w:lang w:val="zh-CN" w:eastAsia="zh-CN"/>
        </w:rPr>
        <w:t>中国绿债市场</w:t>
      </w:r>
      <w:proofErr w:type="gramEnd"/>
      <w:r>
        <w:rPr>
          <w:rFonts w:ascii="Times New Roman" w:eastAsia="宋体" w:hAnsi="Times New Roman" w:cs="Arial" w:hint="eastAsia"/>
          <w:lang w:val="zh-CN" w:eastAsia="zh-CN"/>
        </w:rPr>
        <w:t>的国际投资者教育和英语信息、市场准入问题以及风险对</w:t>
      </w:r>
      <w:proofErr w:type="gramStart"/>
      <w:r>
        <w:rPr>
          <w:rFonts w:ascii="Times New Roman" w:eastAsia="宋体" w:hAnsi="Times New Roman" w:cs="Arial" w:hint="eastAsia"/>
          <w:lang w:val="zh-CN" w:eastAsia="zh-CN"/>
        </w:rPr>
        <w:t>冲工</w:t>
      </w:r>
      <w:proofErr w:type="gramEnd"/>
      <w:r>
        <w:rPr>
          <w:rFonts w:ascii="Times New Roman" w:eastAsia="宋体" w:hAnsi="Times New Roman" w:cs="Arial" w:hint="eastAsia"/>
          <w:lang w:val="zh-CN" w:eastAsia="zh-CN"/>
        </w:rPr>
        <w:t>具缺失等。</w:t>
      </w:r>
    </w:p>
    <w:p w14:paraId="3358555C" w14:textId="77777777" w:rsidR="00F35A2E" w:rsidRPr="007B7E34" w:rsidRDefault="00F35A2E" w:rsidP="00F35A2E">
      <w:pPr>
        <w:spacing w:after="0" w:line="240" w:lineRule="auto"/>
        <w:ind w:left="840"/>
        <w:rPr>
          <w:rFonts w:ascii="Times New Roman" w:eastAsia="宋体" w:hAnsi="Times New Roman" w:cs="Arial"/>
          <w:lang w:val="zh-CN" w:eastAsia="zh-CN"/>
        </w:rPr>
      </w:pPr>
    </w:p>
    <w:p w14:paraId="6478E3CD" w14:textId="77777777" w:rsidR="005158DC" w:rsidRPr="00F2521D" w:rsidRDefault="005158DC" w:rsidP="005158DC">
      <w:pPr>
        <w:ind w:firstLine="480"/>
        <w:jc w:val="both"/>
        <w:rPr>
          <w:rFonts w:ascii="Times New Roman" w:eastAsia="宋体" w:hAnsi="Times New Roman" w:cs="Arial"/>
          <w:b/>
          <w:lang w:val="zh-CN" w:eastAsia="zh-CN"/>
        </w:rPr>
      </w:pPr>
      <w:r w:rsidRPr="00F2521D">
        <w:rPr>
          <w:rFonts w:ascii="Times New Roman" w:eastAsia="宋体" w:hAnsi="Arial" w:cs="Arial" w:hint="eastAsia"/>
          <w:b/>
          <w:lang w:val="zh-CN" w:eastAsia="zh-CN"/>
        </w:rPr>
        <w:t>为了</w:t>
      </w:r>
      <w:r>
        <w:rPr>
          <w:rFonts w:ascii="Times New Roman" w:eastAsia="宋体" w:hAnsi="Arial" w:cs="Arial" w:hint="eastAsia"/>
          <w:b/>
          <w:lang w:val="zh-CN" w:eastAsia="zh-CN"/>
        </w:rPr>
        <w:t>解决</w:t>
      </w:r>
      <w:proofErr w:type="gramStart"/>
      <w:r>
        <w:rPr>
          <w:rFonts w:ascii="Times New Roman" w:eastAsia="宋体" w:hAnsi="Arial" w:cs="Arial" w:hint="eastAsia"/>
          <w:b/>
          <w:lang w:val="zh-CN" w:eastAsia="zh-CN"/>
        </w:rPr>
        <w:t>上述和</w:t>
      </w:r>
      <w:proofErr w:type="gramEnd"/>
      <w:r>
        <w:rPr>
          <w:rFonts w:ascii="Times New Roman" w:eastAsia="宋体" w:hAnsi="Arial" w:cs="Arial" w:hint="eastAsia"/>
          <w:b/>
          <w:lang w:val="zh-CN" w:eastAsia="zh-CN"/>
        </w:rPr>
        <w:t>其它问题</w:t>
      </w:r>
      <w:r w:rsidRPr="00F2521D">
        <w:rPr>
          <w:rFonts w:ascii="Times New Roman" w:eastAsia="宋体" w:hAnsi="Arial" w:cs="Arial" w:hint="eastAsia"/>
          <w:b/>
          <w:lang w:val="zh-CN" w:eastAsia="zh-CN"/>
        </w:rPr>
        <w:t>，中</w:t>
      </w:r>
      <w:r>
        <w:rPr>
          <w:rFonts w:ascii="Times New Roman" w:eastAsia="宋体" w:hAnsi="Arial" w:cs="Arial" w:hint="eastAsia"/>
          <w:b/>
          <w:lang w:val="zh-CN" w:eastAsia="zh-CN"/>
        </w:rPr>
        <w:t>英绿色金融工作组</w:t>
      </w:r>
      <w:r w:rsidRPr="00F2521D">
        <w:rPr>
          <w:rFonts w:ascii="Times New Roman" w:eastAsia="宋体" w:hAnsi="Arial" w:cs="Arial" w:hint="eastAsia"/>
          <w:b/>
          <w:lang w:val="zh-CN" w:eastAsia="zh-CN"/>
        </w:rPr>
        <w:t>在政策层面和行业层面提出了</w:t>
      </w:r>
      <w:r>
        <w:rPr>
          <w:rFonts w:ascii="Times New Roman" w:eastAsia="宋体" w:hAnsi="Arial" w:cs="Arial" w:hint="eastAsia"/>
          <w:b/>
          <w:lang w:val="zh-CN" w:eastAsia="zh-CN"/>
        </w:rPr>
        <w:t>一系列</w:t>
      </w:r>
      <w:r w:rsidRPr="00F2521D">
        <w:rPr>
          <w:rFonts w:ascii="Times New Roman" w:eastAsia="宋体" w:hAnsi="Arial" w:cs="Arial" w:hint="eastAsia"/>
          <w:b/>
          <w:lang w:val="zh-CN" w:eastAsia="zh-CN"/>
        </w:rPr>
        <w:t>建议</w:t>
      </w:r>
      <w:r>
        <w:rPr>
          <w:rFonts w:ascii="Times New Roman" w:eastAsia="宋体" w:hAnsi="Arial" w:cs="Arial" w:hint="eastAsia"/>
          <w:b/>
          <w:lang w:val="zh-CN" w:eastAsia="zh-CN"/>
        </w:rPr>
        <w:t>，这些</w:t>
      </w:r>
      <w:r w:rsidRPr="00F2521D">
        <w:rPr>
          <w:rFonts w:ascii="Times New Roman" w:eastAsia="宋体" w:hAnsi="Arial" w:cs="Arial" w:hint="eastAsia"/>
          <w:b/>
          <w:lang w:val="zh-CN" w:eastAsia="zh-CN"/>
        </w:rPr>
        <w:t>建议</w:t>
      </w:r>
      <w:r>
        <w:rPr>
          <w:rFonts w:ascii="Times New Roman" w:eastAsia="宋体" w:hAnsi="Arial" w:cs="Arial" w:hint="eastAsia"/>
          <w:b/>
          <w:lang w:val="zh-CN" w:eastAsia="zh-CN"/>
        </w:rPr>
        <w:t>的要点如下</w:t>
      </w:r>
      <w:r w:rsidRPr="00F2521D">
        <w:rPr>
          <w:rFonts w:ascii="Times New Roman" w:eastAsia="宋体" w:hAnsi="Arial" w:cs="Arial" w:hint="eastAsia"/>
          <w:b/>
          <w:lang w:val="zh-CN" w:eastAsia="zh-CN"/>
        </w:rPr>
        <w:t>：</w:t>
      </w:r>
    </w:p>
    <w:p w14:paraId="0CC80AF7" w14:textId="6CB9D76B" w:rsidR="005158DC" w:rsidRPr="00F35A2E" w:rsidRDefault="005158DC" w:rsidP="005158DC">
      <w:pPr>
        <w:rPr>
          <w:rFonts w:ascii="黑体" w:eastAsia="黑体" w:hAnsi="黑体" w:cs="Arial"/>
          <w:lang w:val="zh-CN" w:eastAsia="zh-CN"/>
        </w:rPr>
      </w:pPr>
      <w:r w:rsidRPr="00F35A2E">
        <w:rPr>
          <w:rFonts w:ascii="黑体" w:eastAsia="黑体" w:hAnsi="黑体" w:cs="Arial" w:hint="eastAsia"/>
          <w:b/>
          <w:lang w:val="zh-CN" w:eastAsia="zh-CN"/>
        </w:rPr>
        <w:t>政府</w:t>
      </w:r>
      <w:r w:rsidRPr="00F35A2E">
        <w:rPr>
          <w:rFonts w:ascii="黑体" w:eastAsia="黑体" w:hAnsi="黑体"/>
          <w:b/>
          <w:lang w:val="zh-CN" w:eastAsia="zh-CN"/>
        </w:rPr>
        <w:t xml:space="preserve"> /</w:t>
      </w:r>
      <w:r w:rsidRPr="00F35A2E">
        <w:rPr>
          <w:rFonts w:ascii="黑体" w:eastAsia="黑体" w:hAnsi="黑体" w:cs="Arial" w:hint="eastAsia"/>
          <w:b/>
          <w:lang w:val="zh-CN" w:eastAsia="zh-CN"/>
        </w:rPr>
        <w:t>监管机构</w:t>
      </w:r>
    </w:p>
    <w:p w14:paraId="715950E3" w14:textId="77777777" w:rsidR="005158DC" w:rsidRPr="00C23266" w:rsidRDefault="005158DC" w:rsidP="005158DC">
      <w:pPr>
        <w:widowControl w:val="0"/>
        <w:numPr>
          <w:ilvl w:val="0"/>
          <w:numId w:val="3"/>
        </w:numPr>
        <w:spacing w:after="0" w:line="240" w:lineRule="auto"/>
        <w:rPr>
          <w:rFonts w:ascii="Times New Roman" w:eastAsia="宋体" w:hAnsi="Times New Roman" w:cs="Arial"/>
          <w:lang w:val="zh-CN" w:eastAsia="zh-CN"/>
        </w:rPr>
      </w:pPr>
      <w:r w:rsidRPr="00FB4EA3">
        <w:rPr>
          <w:rFonts w:ascii="Times New Roman" w:eastAsia="宋体" w:hAnsi="Arial" w:cs="Arial" w:hint="eastAsia"/>
          <w:lang w:val="zh-CN" w:eastAsia="zh-CN"/>
        </w:rPr>
        <w:t>根据</w:t>
      </w:r>
      <w:r w:rsidRPr="00FB4EA3">
        <w:rPr>
          <w:rFonts w:ascii="Times New Roman" w:eastAsia="宋体" w:hAnsi="Arial" w:cs="Arial" w:hint="eastAsia"/>
          <w:lang w:val="zh-CN" w:eastAsia="zh-CN"/>
        </w:rPr>
        <w:t>G20</w:t>
      </w:r>
      <w:r w:rsidRPr="00FB4EA3">
        <w:rPr>
          <w:rFonts w:ascii="Times New Roman" w:eastAsia="宋体" w:hAnsi="Arial" w:cs="Arial" w:hint="eastAsia"/>
          <w:lang w:val="zh-CN" w:eastAsia="zh-CN"/>
        </w:rPr>
        <w:t>绿色金融研究</w:t>
      </w:r>
      <w:r>
        <w:rPr>
          <w:rFonts w:ascii="Times New Roman" w:eastAsia="宋体" w:hAnsi="Arial" w:cs="Arial" w:hint="eastAsia"/>
          <w:lang w:val="zh-CN" w:eastAsia="zh-CN"/>
        </w:rPr>
        <w:t>小</w:t>
      </w:r>
      <w:r w:rsidRPr="00FB4EA3">
        <w:rPr>
          <w:rFonts w:ascii="Times New Roman" w:eastAsia="宋体" w:hAnsi="Arial" w:cs="Arial" w:hint="eastAsia"/>
          <w:lang w:val="zh-CN" w:eastAsia="zh-CN"/>
        </w:rPr>
        <w:t>组提出的</w:t>
      </w:r>
      <w:r>
        <w:rPr>
          <w:rFonts w:ascii="Times New Roman" w:eastAsia="宋体" w:hAnsi="Arial" w:cs="Arial" w:hint="eastAsia"/>
          <w:lang w:val="zh-CN" w:eastAsia="zh-CN"/>
        </w:rPr>
        <w:t>开展</w:t>
      </w:r>
      <w:r w:rsidRPr="00FB4EA3">
        <w:rPr>
          <w:rFonts w:ascii="Times New Roman" w:eastAsia="宋体" w:hAnsi="Arial" w:cs="Arial" w:hint="eastAsia"/>
          <w:lang w:val="zh-CN" w:eastAsia="zh-CN"/>
        </w:rPr>
        <w:t>环境风险分析的</w:t>
      </w:r>
      <w:r>
        <w:rPr>
          <w:rFonts w:ascii="Times New Roman" w:eastAsia="宋体" w:hAnsi="Arial" w:cs="Arial" w:hint="eastAsia"/>
          <w:lang w:val="zh-CN" w:eastAsia="zh-CN"/>
        </w:rPr>
        <w:t>倡议，政府和监管部门应该向市场传递</w:t>
      </w:r>
      <w:r w:rsidRPr="00FB4EA3">
        <w:rPr>
          <w:rFonts w:ascii="Times New Roman" w:eastAsia="宋体" w:hAnsi="Arial" w:cs="Arial" w:hint="eastAsia"/>
          <w:lang w:val="zh-CN" w:eastAsia="zh-CN"/>
        </w:rPr>
        <w:t>更</w:t>
      </w:r>
      <w:r>
        <w:rPr>
          <w:rFonts w:ascii="Times New Roman" w:eastAsia="宋体" w:hAnsi="Arial" w:cs="Arial" w:hint="eastAsia"/>
          <w:lang w:val="zh-CN" w:eastAsia="zh-CN"/>
        </w:rPr>
        <w:t>加明确的</w:t>
      </w:r>
      <w:r w:rsidRPr="00FB4EA3">
        <w:rPr>
          <w:rFonts w:ascii="Times New Roman" w:eastAsia="宋体" w:hAnsi="Arial" w:cs="Arial" w:hint="eastAsia"/>
          <w:lang w:val="zh-CN" w:eastAsia="zh-CN"/>
        </w:rPr>
        <w:t>信号，</w:t>
      </w:r>
      <w:r>
        <w:rPr>
          <w:rFonts w:ascii="Times New Roman" w:eastAsia="宋体" w:hAnsi="Arial" w:cs="Arial" w:hint="eastAsia"/>
          <w:lang w:val="zh-CN" w:eastAsia="zh-CN"/>
        </w:rPr>
        <w:t>鼓励金融机构对各种</w:t>
      </w:r>
      <w:r w:rsidRPr="00FB4EA3">
        <w:rPr>
          <w:rFonts w:ascii="Times New Roman" w:eastAsia="宋体" w:hAnsi="Arial" w:cs="Arial" w:hint="eastAsia"/>
          <w:lang w:val="zh-CN" w:eastAsia="zh-CN"/>
        </w:rPr>
        <w:t>资产类别</w:t>
      </w:r>
      <w:r>
        <w:rPr>
          <w:rFonts w:ascii="Times New Roman" w:eastAsia="宋体" w:hAnsi="Arial" w:cs="Arial" w:hint="eastAsia"/>
          <w:lang w:val="zh-CN" w:eastAsia="zh-CN"/>
        </w:rPr>
        <w:t>开展</w:t>
      </w:r>
      <w:r>
        <w:rPr>
          <w:rFonts w:ascii="Times New Roman" w:eastAsia="宋体" w:hAnsi="Arial" w:cs="Arial" w:hint="eastAsia"/>
          <w:lang w:val="zh-CN" w:eastAsia="zh-CN"/>
        </w:rPr>
        <w:t>ESG</w:t>
      </w:r>
      <w:r>
        <w:rPr>
          <w:rFonts w:ascii="Times New Roman" w:eastAsia="宋体" w:hAnsi="Arial" w:cs="Arial" w:hint="eastAsia"/>
          <w:lang w:val="zh-CN" w:eastAsia="zh-CN"/>
        </w:rPr>
        <w:t>因素</w:t>
      </w:r>
      <w:r w:rsidRPr="00FB4EA3">
        <w:rPr>
          <w:rFonts w:ascii="Times New Roman" w:eastAsia="宋体" w:hAnsi="Arial" w:cs="Arial" w:hint="eastAsia"/>
          <w:lang w:val="zh-CN" w:eastAsia="zh-CN"/>
        </w:rPr>
        <w:t>的财务影响</w:t>
      </w:r>
      <w:r>
        <w:rPr>
          <w:rFonts w:ascii="Times New Roman" w:eastAsia="宋体" w:hAnsi="Arial" w:cs="Arial" w:hint="eastAsia"/>
          <w:lang w:val="zh-CN" w:eastAsia="zh-CN"/>
        </w:rPr>
        <w:t>分析。比如，</w:t>
      </w:r>
      <w:r w:rsidRPr="00C23266">
        <w:rPr>
          <w:rFonts w:ascii="Times New Roman" w:eastAsia="宋体" w:hAnsi="Times New Roman" w:cs="Arial"/>
          <w:lang w:val="zh-CN" w:eastAsia="zh-CN"/>
        </w:rPr>
        <w:t xml:space="preserve"> </w:t>
      </w:r>
    </w:p>
    <w:p w14:paraId="0A810649" w14:textId="77777777" w:rsidR="005158DC" w:rsidRPr="00F35A2E" w:rsidRDefault="005158DC" w:rsidP="005158DC">
      <w:pPr>
        <w:pStyle w:val="a8"/>
        <w:widowControl w:val="0"/>
        <w:numPr>
          <w:ilvl w:val="0"/>
          <w:numId w:val="9"/>
        </w:numPr>
        <w:spacing w:after="0" w:line="240" w:lineRule="auto"/>
        <w:rPr>
          <w:rFonts w:ascii="宋体" w:eastAsia="宋体" w:hAnsi="宋体" w:cs="Arial"/>
          <w:lang w:eastAsia="zh-CN"/>
        </w:rPr>
      </w:pPr>
      <w:r w:rsidRPr="00F35A2E">
        <w:rPr>
          <w:rFonts w:ascii="宋体" w:eastAsia="宋体" w:hAnsi="宋体" w:cs="Arial" w:hint="eastAsia"/>
          <w:lang w:eastAsia="zh-CN"/>
        </w:rPr>
        <w:t>监管机构应要求公司和机构投资者披露重大ESG相关风险。</w:t>
      </w:r>
    </w:p>
    <w:p w14:paraId="12DACEB4" w14:textId="77777777" w:rsidR="005158DC" w:rsidRPr="00F35A2E" w:rsidRDefault="005158DC" w:rsidP="005158DC">
      <w:pPr>
        <w:pStyle w:val="a8"/>
        <w:widowControl w:val="0"/>
        <w:numPr>
          <w:ilvl w:val="0"/>
          <w:numId w:val="9"/>
        </w:numPr>
        <w:spacing w:after="0" w:line="240" w:lineRule="auto"/>
        <w:rPr>
          <w:rFonts w:ascii="宋体" w:eastAsia="宋体" w:hAnsi="宋体" w:cs="Arial"/>
          <w:lang w:eastAsia="zh-CN"/>
        </w:rPr>
      </w:pPr>
      <w:r w:rsidRPr="00F35A2E">
        <w:rPr>
          <w:rFonts w:ascii="宋体" w:eastAsia="宋体" w:hAnsi="宋体" w:cs="Arial" w:hint="eastAsia"/>
          <w:lang w:eastAsia="zh-CN"/>
        </w:rPr>
        <w:t>支持市场机构根据绿色评级结果制定正面和负面清单，以鼓励绿色表现优异的机构，约束棕色经济活动。</w:t>
      </w:r>
    </w:p>
    <w:p w14:paraId="6F387AFF" w14:textId="77777777" w:rsidR="005158DC" w:rsidRPr="00F35A2E" w:rsidRDefault="005158DC" w:rsidP="005158DC">
      <w:pPr>
        <w:pStyle w:val="a8"/>
        <w:widowControl w:val="0"/>
        <w:numPr>
          <w:ilvl w:val="0"/>
          <w:numId w:val="9"/>
        </w:numPr>
        <w:spacing w:after="0" w:line="240" w:lineRule="auto"/>
        <w:rPr>
          <w:rFonts w:ascii="宋体" w:eastAsia="宋体" w:hAnsi="宋体" w:cs="Arial"/>
          <w:lang w:eastAsia="zh-CN"/>
        </w:rPr>
      </w:pPr>
      <w:r w:rsidRPr="00F35A2E">
        <w:rPr>
          <w:rFonts w:ascii="宋体" w:eastAsia="宋体" w:hAnsi="宋体" w:cs="Arial" w:hint="eastAsia"/>
          <w:lang w:eastAsia="zh-CN"/>
        </w:rPr>
        <w:t>针对长期机构投资者（社保、保险、养老金、年金机构等），探索如何明确其</w:t>
      </w:r>
      <w:r w:rsidRPr="00F35A2E">
        <w:rPr>
          <w:rFonts w:ascii="宋体" w:eastAsia="宋体" w:hAnsi="宋体" w:cs="Arial"/>
          <w:lang w:eastAsia="zh-CN"/>
        </w:rPr>
        <w:t>ESG</w:t>
      </w:r>
      <w:r w:rsidRPr="00F35A2E">
        <w:rPr>
          <w:rFonts w:ascii="宋体" w:eastAsia="宋体" w:hAnsi="宋体" w:cs="Arial" w:hint="eastAsia"/>
          <w:lang w:eastAsia="zh-CN"/>
        </w:rPr>
        <w:t>信托责任。</w:t>
      </w:r>
    </w:p>
    <w:p w14:paraId="64D37DE6" w14:textId="77777777" w:rsidR="005158DC" w:rsidRPr="00F35A2E" w:rsidRDefault="005158DC" w:rsidP="005158DC">
      <w:pPr>
        <w:pStyle w:val="a8"/>
        <w:widowControl w:val="0"/>
        <w:numPr>
          <w:ilvl w:val="0"/>
          <w:numId w:val="9"/>
        </w:numPr>
        <w:spacing w:after="0" w:line="240" w:lineRule="auto"/>
        <w:rPr>
          <w:rFonts w:ascii="宋体" w:eastAsia="宋体" w:hAnsi="宋体" w:cs="Arial"/>
          <w:lang w:eastAsia="zh-CN"/>
        </w:rPr>
      </w:pPr>
      <w:r w:rsidRPr="00F35A2E">
        <w:rPr>
          <w:rFonts w:ascii="宋体" w:eastAsia="宋体" w:hAnsi="宋体" w:cs="Arial" w:hint="eastAsia"/>
          <w:lang w:eastAsia="zh-CN"/>
        </w:rPr>
        <w:t>中国有关监管部门应当制定上市公司和债券发行人强制披露环境信息的具体规定。</w:t>
      </w:r>
    </w:p>
    <w:p w14:paraId="2091C4BC" w14:textId="77777777" w:rsidR="005158DC" w:rsidRPr="00F35A2E" w:rsidRDefault="005158DC" w:rsidP="005158DC">
      <w:pPr>
        <w:pStyle w:val="a8"/>
        <w:widowControl w:val="0"/>
        <w:numPr>
          <w:ilvl w:val="0"/>
          <w:numId w:val="9"/>
        </w:numPr>
        <w:spacing w:after="0" w:line="240" w:lineRule="auto"/>
        <w:rPr>
          <w:rFonts w:ascii="宋体" w:eastAsia="宋体" w:hAnsi="宋体" w:cs="Arial"/>
          <w:lang w:eastAsia="zh-CN"/>
        </w:rPr>
      </w:pPr>
      <w:r w:rsidRPr="00F35A2E">
        <w:rPr>
          <w:rFonts w:ascii="宋体" w:eastAsia="宋体" w:hAnsi="宋体" w:cs="Arial" w:hint="eastAsia"/>
          <w:lang w:eastAsia="zh-CN"/>
        </w:rPr>
        <w:t>推动建立兼顾“统一”和“差异化</w:t>
      </w:r>
      <w:r w:rsidRPr="00F35A2E">
        <w:rPr>
          <w:rFonts w:ascii="宋体" w:eastAsia="宋体" w:hAnsi="宋体" w:cs="Arial"/>
          <w:lang w:eastAsia="zh-CN"/>
        </w:rPr>
        <w:t>/</w:t>
      </w:r>
      <w:r w:rsidRPr="00F35A2E">
        <w:rPr>
          <w:rFonts w:ascii="宋体" w:eastAsia="宋体" w:hAnsi="宋体" w:cs="Arial" w:hint="eastAsia"/>
          <w:lang w:eastAsia="zh-CN"/>
        </w:rPr>
        <w:t>灵活性”的</w:t>
      </w:r>
      <w:r w:rsidRPr="00F35A2E">
        <w:rPr>
          <w:rFonts w:ascii="宋体" w:eastAsia="宋体" w:hAnsi="宋体" w:cs="Arial"/>
          <w:lang w:eastAsia="zh-CN"/>
        </w:rPr>
        <w:t>ESG</w:t>
      </w:r>
      <w:r w:rsidRPr="00F35A2E">
        <w:rPr>
          <w:rFonts w:ascii="宋体" w:eastAsia="宋体" w:hAnsi="宋体" w:cs="Arial" w:hint="eastAsia"/>
          <w:lang w:eastAsia="zh-CN"/>
        </w:rPr>
        <w:t>评级体系。</w:t>
      </w:r>
    </w:p>
    <w:p w14:paraId="13353485" w14:textId="77777777" w:rsidR="005158DC" w:rsidRPr="00F2521D" w:rsidRDefault="005158DC" w:rsidP="005158DC">
      <w:pPr>
        <w:widowControl w:val="0"/>
        <w:spacing w:after="0" w:line="240" w:lineRule="auto"/>
        <w:ind w:left="360"/>
        <w:rPr>
          <w:rFonts w:ascii="Times New Roman" w:eastAsia="宋体" w:hAnsi="Times New Roman" w:cs="Arial"/>
          <w:lang w:val="zh-CN" w:eastAsia="zh-CN"/>
        </w:rPr>
      </w:pPr>
    </w:p>
    <w:p w14:paraId="7B2C8C15" w14:textId="77777777" w:rsidR="005158DC" w:rsidRPr="00C23266" w:rsidRDefault="005158DC" w:rsidP="005158DC">
      <w:pPr>
        <w:widowControl w:val="0"/>
        <w:numPr>
          <w:ilvl w:val="0"/>
          <w:numId w:val="3"/>
        </w:numPr>
        <w:spacing w:after="0" w:line="240" w:lineRule="auto"/>
        <w:rPr>
          <w:rFonts w:ascii="Times New Roman" w:eastAsia="宋体" w:hAnsi="Times New Roman" w:cs="Arial"/>
          <w:lang w:val="zh-CN" w:eastAsia="zh-CN"/>
        </w:rPr>
      </w:pPr>
      <w:r w:rsidRPr="00D94364">
        <w:rPr>
          <w:rFonts w:ascii="Times New Roman" w:eastAsia="宋体" w:hAnsi="Times New Roman" w:cs="Arial" w:hint="eastAsia"/>
          <w:lang w:val="zh-CN" w:eastAsia="zh-CN"/>
        </w:rPr>
        <w:t>探索银行绿色授信和绿色融资的新方式</w:t>
      </w:r>
      <w:r>
        <w:rPr>
          <w:rFonts w:ascii="Times New Roman" w:eastAsia="宋体" w:hAnsi="Times New Roman" w:cs="Arial" w:hint="eastAsia"/>
          <w:lang w:val="zh-CN" w:eastAsia="zh-CN"/>
        </w:rPr>
        <w:t>，</w:t>
      </w:r>
      <w:r w:rsidRPr="00F2521D">
        <w:rPr>
          <w:rFonts w:ascii="Times New Roman" w:eastAsia="宋体" w:hAnsi="Arial" w:cs="Arial" w:hint="eastAsia"/>
          <w:lang w:val="zh-CN" w:eastAsia="zh-CN"/>
        </w:rPr>
        <w:t>进一步推动</w:t>
      </w:r>
      <w:r>
        <w:rPr>
          <w:rFonts w:ascii="Times New Roman" w:eastAsia="宋体" w:hAnsi="Arial" w:cs="Arial" w:hint="eastAsia"/>
          <w:lang w:val="zh-CN" w:eastAsia="zh-CN"/>
        </w:rPr>
        <w:t>扩大</w:t>
      </w:r>
      <w:r w:rsidRPr="00F2521D">
        <w:rPr>
          <w:rFonts w:ascii="Times New Roman" w:eastAsia="宋体" w:hAnsi="Arial" w:cs="Arial" w:hint="eastAsia"/>
          <w:lang w:val="zh-CN" w:eastAsia="zh-CN"/>
        </w:rPr>
        <w:t>绿色</w:t>
      </w:r>
      <w:r>
        <w:rPr>
          <w:rFonts w:ascii="Times New Roman" w:eastAsia="宋体" w:hAnsi="Arial" w:cs="Arial" w:hint="eastAsia"/>
          <w:lang w:val="zh-CN" w:eastAsia="zh-CN"/>
        </w:rPr>
        <w:t>信贷</w:t>
      </w:r>
      <w:r w:rsidRPr="00F2521D">
        <w:rPr>
          <w:rFonts w:ascii="Times New Roman" w:eastAsia="宋体" w:hAnsi="Arial" w:cs="Arial" w:hint="eastAsia"/>
          <w:lang w:val="zh-CN" w:eastAsia="zh-CN"/>
        </w:rPr>
        <w:t>和</w:t>
      </w:r>
      <w:r>
        <w:rPr>
          <w:rFonts w:ascii="Times New Roman" w:eastAsia="宋体" w:hAnsi="Arial" w:cs="Arial" w:hint="eastAsia"/>
          <w:lang w:val="zh-CN" w:eastAsia="zh-CN"/>
        </w:rPr>
        <w:t>其他</w:t>
      </w:r>
      <w:r w:rsidRPr="00F2521D">
        <w:rPr>
          <w:rFonts w:ascii="Times New Roman" w:eastAsia="宋体" w:hAnsi="Arial" w:cs="Arial" w:hint="eastAsia"/>
          <w:lang w:val="zh-CN" w:eastAsia="zh-CN"/>
        </w:rPr>
        <w:t>绿色相关产品的开发。监管机构</w:t>
      </w:r>
      <w:r>
        <w:rPr>
          <w:rFonts w:ascii="Times New Roman" w:eastAsia="宋体" w:hAnsi="Arial" w:cs="Arial" w:hint="eastAsia"/>
          <w:lang w:val="zh-CN" w:eastAsia="zh-CN"/>
        </w:rPr>
        <w:t>可以考虑以下行动促进商业银行增加绿色信贷</w:t>
      </w:r>
      <w:r w:rsidRPr="00F2521D">
        <w:rPr>
          <w:rFonts w:ascii="Times New Roman" w:eastAsia="宋体" w:hAnsi="Arial" w:cs="Arial" w:hint="eastAsia"/>
          <w:lang w:val="zh-CN" w:eastAsia="zh-CN"/>
        </w:rPr>
        <w:t>：</w:t>
      </w:r>
    </w:p>
    <w:p w14:paraId="7707038D" w14:textId="77777777" w:rsidR="005158DC" w:rsidRPr="00F35A2E" w:rsidRDefault="005158DC" w:rsidP="005158DC">
      <w:pPr>
        <w:pStyle w:val="a8"/>
        <w:widowControl w:val="0"/>
        <w:numPr>
          <w:ilvl w:val="0"/>
          <w:numId w:val="10"/>
        </w:numPr>
        <w:spacing w:after="0" w:line="240" w:lineRule="auto"/>
        <w:rPr>
          <w:rFonts w:ascii="宋体" w:eastAsia="宋体" w:hAnsi="宋体" w:cs="Arial"/>
          <w:lang w:eastAsia="zh-CN"/>
        </w:rPr>
      </w:pPr>
      <w:r w:rsidRPr="00F35A2E">
        <w:rPr>
          <w:rFonts w:ascii="宋体" w:eastAsia="宋体" w:hAnsi="宋体" w:cs="Arial" w:hint="eastAsia"/>
          <w:lang w:eastAsia="zh-CN"/>
        </w:rPr>
        <w:t>将满足ESG评级标准的绿色信贷资产纳入中央银行符合条件的抵质押品范围。</w:t>
      </w:r>
    </w:p>
    <w:p w14:paraId="65F38169" w14:textId="347094BE" w:rsidR="005158DC" w:rsidRDefault="005158DC" w:rsidP="005158DC">
      <w:pPr>
        <w:pStyle w:val="a8"/>
        <w:widowControl w:val="0"/>
        <w:numPr>
          <w:ilvl w:val="0"/>
          <w:numId w:val="10"/>
        </w:numPr>
        <w:spacing w:after="0" w:line="240" w:lineRule="auto"/>
        <w:rPr>
          <w:rFonts w:ascii="宋体" w:eastAsia="宋体" w:hAnsi="宋体" w:cs="Arial"/>
          <w:lang w:eastAsia="zh-CN"/>
        </w:rPr>
      </w:pPr>
      <w:r w:rsidRPr="00F35A2E">
        <w:rPr>
          <w:rFonts w:ascii="宋体" w:eastAsia="宋体" w:hAnsi="宋体" w:cs="Arial" w:hint="eastAsia"/>
          <w:lang w:eastAsia="zh-CN"/>
        </w:rPr>
        <w:t>对商业银行针向</w:t>
      </w:r>
      <w:r w:rsidRPr="00F35A2E">
        <w:rPr>
          <w:rFonts w:ascii="宋体" w:eastAsia="宋体" w:hAnsi="宋体" w:cs="Arial"/>
          <w:lang w:eastAsia="zh-CN"/>
        </w:rPr>
        <w:t>ESG</w:t>
      </w:r>
      <w:r w:rsidRPr="00F35A2E">
        <w:rPr>
          <w:rFonts w:ascii="宋体" w:eastAsia="宋体" w:hAnsi="宋体" w:cs="Arial" w:hint="eastAsia"/>
          <w:lang w:eastAsia="zh-CN"/>
        </w:rPr>
        <w:t>表现优异的企业所发放的绿色贷款或持有的绿色债券，降低其相应资本要求。</w:t>
      </w:r>
    </w:p>
    <w:p w14:paraId="5E071A4F" w14:textId="77777777" w:rsidR="00F35A2E" w:rsidRPr="00F35A2E" w:rsidRDefault="00F35A2E" w:rsidP="00F35A2E">
      <w:pPr>
        <w:pStyle w:val="a8"/>
        <w:widowControl w:val="0"/>
        <w:spacing w:after="0" w:line="240" w:lineRule="auto"/>
        <w:ind w:left="780"/>
        <w:rPr>
          <w:rFonts w:ascii="宋体" w:eastAsia="宋体" w:hAnsi="宋体" w:cs="Arial"/>
          <w:lang w:eastAsia="zh-CN"/>
        </w:rPr>
      </w:pPr>
    </w:p>
    <w:p w14:paraId="49B89513" w14:textId="77777777" w:rsidR="005158DC" w:rsidRPr="00F35A2E" w:rsidRDefault="005158DC" w:rsidP="005158DC">
      <w:pPr>
        <w:rPr>
          <w:rFonts w:ascii="Times New Roman" w:eastAsia="宋体" w:hAnsi="Times New Roman" w:cs="Arial"/>
          <w:lang w:val="zh-CN" w:eastAsia="zh-CN"/>
        </w:rPr>
      </w:pPr>
      <w:proofErr w:type="spellStart"/>
      <w:r w:rsidRPr="00F35A2E">
        <w:rPr>
          <w:rFonts w:ascii="Times New Roman" w:hAnsi="Arial" w:hint="eastAsia"/>
          <w:b/>
          <w:lang w:val="zh-CN"/>
        </w:rPr>
        <w:t>银行</w:t>
      </w:r>
      <w:proofErr w:type="spellEnd"/>
      <w:r w:rsidRPr="00F35A2E">
        <w:rPr>
          <w:rFonts w:ascii="Times New Roman" w:eastAsia="宋体" w:hAnsi="Times New Roman" w:cs="Arial" w:hint="eastAsia"/>
          <w:b/>
          <w:lang w:val="zh-CN" w:eastAsia="zh-CN"/>
        </w:rPr>
        <w:t xml:space="preserve"> </w:t>
      </w:r>
      <w:r w:rsidRPr="00F35A2E">
        <w:rPr>
          <w:rFonts w:ascii="Times New Roman" w:eastAsia="宋体" w:hAnsi="Times New Roman" w:cs="Arial" w:hint="eastAsia"/>
          <w:lang w:val="zh-CN" w:eastAsia="zh-CN"/>
        </w:rPr>
        <w:tab/>
      </w:r>
    </w:p>
    <w:p w14:paraId="493BE460" w14:textId="77777777" w:rsidR="005158DC" w:rsidRPr="00F2521D" w:rsidRDefault="005158DC" w:rsidP="005158DC">
      <w:pPr>
        <w:pStyle w:val="a8"/>
        <w:widowControl w:val="0"/>
        <w:numPr>
          <w:ilvl w:val="0"/>
          <w:numId w:val="7"/>
        </w:numPr>
        <w:spacing w:after="0" w:line="240" w:lineRule="auto"/>
        <w:rPr>
          <w:rFonts w:ascii="Times New Roman" w:eastAsia="宋体" w:hAnsi="Times New Roman" w:cs="Arial"/>
          <w:lang w:val="zh-CN" w:eastAsia="zh-CN"/>
        </w:rPr>
      </w:pPr>
      <w:r w:rsidRPr="00F2521D">
        <w:rPr>
          <w:rFonts w:ascii="Times New Roman" w:eastAsia="宋体" w:hAnsi="Arial" w:cs="Arial" w:hint="eastAsia"/>
          <w:lang w:val="zh-CN" w:eastAsia="zh-CN"/>
        </w:rPr>
        <w:t>银行应当提高管理</w:t>
      </w:r>
      <w:r w:rsidRPr="00F2521D">
        <w:rPr>
          <w:rFonts w:ascii="Times New Roman" w:eastAsia="宋体" w:hAnsi="Times New Roman" w:cs="Arial"/>
          <w:lang w:val="zh-CN" w:eastAsia="zh-CN"/>
        </w:rPr>
        <w:t>ESG</w:t>
      </w:r>
      <w:r w:rsidRPr="00F2521D">
        <w:rPr>
          <w:rFonts w:ascii="Times New Roman" w:eastAsia="宋体" w:hAnsi="Arial" w:cs="Arial" w:hint="eastAsia"/>
          <w:lang w:val="zh-CN" w:eastAsia="zh-CN"/>
        </w:rPr>
        <w:t>风险和</w:t>
      </w:r>
      <w:r>
        <w:rPr>
          <w:rFonts w:ascii="Times New Roman" w:eastAsia="宋体" w:hAnsi="Arial" w:cs="Arial" w:hint="eastAsia"/>
          <w:lang w:val="zh-CN" w:eastAsia="zh-CN"/>
        </w:rPr>
        <w:t>开展绿色投资</w:t>
      </w:r>
      <w:r w:rsidRPr="00F2521D">
        <w:rPr>
          <w:rFonts w:ascii="Times New Roman" w:eastAsia="宋体" w:hAnsi="Arial" w:cs="Arial" w:hint="eastAsia"/>
          <w:lang w:val="zh-CN" w:eastAsia="zh-CN"/>
        </w:rPr>
        <w:t>的主动性，</w:t>
      </w:r>
      <w:r>
        <w:rPr>
          <w:rFonts w:ascii="Times New Roman" w:eastAsia="宋体" w:hAnsi="Arial" w:cs="Arial" w:hint="eastAsia"/>
          <w:lang w:val="zh-CN" w:eastAsia="zh-CN"/>
        </w:rPr>
        <w:t>开发</w:t>
      </w:r>
      <w:r>
        <w:rPr>
          <w:rFonts w:ascii="Times New Roman" w:eastAsia="宋体" w:hAnsi="Arial" w:cs="Arial" w:hint="eastAsia"/>
          <w:lang w:val="zh-CN" w:eastAsia="zh-CN"/>
        </w:rPr>
        <w:t>ESG</w:t>
      </w:r>
      <w:r>
        <w:rPr>
          <w:rFonts w:ascii="Times New Roman" w:eastAsia="宋体" w:hAnsi="Arial" w:cs="Arial" w:hint="eastAsia"/>
          <w:lang w:val="zh-CN" w:eastAsia="zh-CN"/>
        </w:rPr>
        <w:t>评估框架和工具，针对不同到期日和类别的资产进行环境因素敏感性分析。</w:t>
      </w:r>
    </w:p>
    <w:p w14:paraId="19B514FD" w14:textId="77777777" w:rsidR="005158DC" w:rsidRPr="00F2521D" w:rsidRDefault="005158DC" w:rsidP="005158DC">
      <w:pPr>
        <w:pStyle w:val="a8"/>
        <w:widowControl w:val="0"/>
        <w:numPr>
          <w:ilvl w:val="0"/>
          <w:numId w:val="7"/>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银行还可以通过</w:t>
      </w:r>
      <w:r w:rsidRPr="00F2521D">
        <w:rPr>
          <w:rFonts w:ascii="Times New Roman" w:eastAsia="宋体" w:hAnsi="Arial" w:cs="Arial" w:hint="eastAsia"/>
          <w:lang w:val="zh-CN" w:eastAsia="zh-CN"/>
        </w:rPr>
        <w:t>压力测试模型和情景分析</w:t>
      </w:r>
      <w:r>
        <w:rPr>
          <w:rFonts w:ascii="Times New Roman" w:eastAsia="宋体" w:hAnsi="Arial" w:cs="Arial" w:hint="eastAsia"/>
          <w:lang w:val="zh-CN" w:eastAsia="zh-CN"/>
        </w:rPr>
        <w:t>方法主动进行</w:t>
      </w:r>
      <w:r w:rsidRPr="00F2521D">
        <w:rPr>
          <w:rFonts w:ascii="Times New Roman" w:eastAsia="宋体" w:hAnsi="Arial" w:cs="Arial" w:hint="eastAsia"/>
          <w:lang w:val="zh-CN" w:eastAsia="zh-CN"/>
        </w:rPr>
        <w:t>风险分析</w:t>
      </w:r>
      <w:r>
        <w:rPr>
          <w:rFonts w:ascii="Times New Roman" w:eastAsia="宋体" w:hAnsi="Arial" w:cs="Arial" w:hint="eastAsia"/>
          <w:lang w:val="zh-CN" w:eastAsia="zh-CN"/>
        </w:rPr>
        <w:t>，</w:t>
      </w:r>
      <w:r w:rsidRPr="00F2521D">
        <w:rPr>
          <w:rFonts w:ascii="Times New Roman" w:eastAsia="宋体" w:hAnsi="Arial" w:cs="Arial" w:hint="eastAsia"/>
          <w:lang w:val="zh-CN" w:eastAsia="zh-CN"/>
        </w:rPr>
        <w:t>将</w:t>
      </w:r>
      <w:r w:rsidRPr="00F2521D">
        <w:rPr>
          <w:rFonts w:ascii="Times New Roman" w:eastAsia="宋体" w:hAnsi="Times New Roman" w:cs="Arial"/>
          <w:lang w:val="zh-CN" w:eastAsia="zh-CN"/>
        </w:rPr>
        <w:t>ESG</w:t>
      </w:r>
      <w:r w:rsidRPr="00F2521D">
        <w:rPr>
          <w:rFonts w:ascii="Times New Roman" w:eastAsia="宋体" w:hAnsi="Times New Roman" w:cs="Arial" w:hint="eastAsia"/>
          <w:lang w:val="zh-CN" w:eastAsia="zh-CN"/>
        </w:rPr>
        <w:t>评估</w:t>
      </w:r>
      <w:r>
        <w:rPr>
          <w:rFonts w:ascii="Times New Roman" w:eastAsia="宋体" w:hAnsi="Times New Roman" w:cs="Arial" w:hint="eastAsia"/>
          <w:lang w:val="zh-CN" w:eastAsia="zh-CN"/>
        </w:rPr>
        <w:t>纳入</w:t>
      </w:r>
      <w:r w:rsidRPr="00F2521D">
        <w:rPr>
          <w:rFonts w:ascii="Times New Roman" w:eastAsia="宋体" w:hAnsi="Arial" w:cs="Arial" w:hint="eastAsia"/>
          <w:lang w:val="zh-CN" w:eastAsia="zh-CN"/>
        </w:rPr>
        <w:t>投资组合构建和业绩</w:t>
      </w:r>
      <w:r>
        <w:rPr>
          <w:rFonts w:ascii="Times New Roman" w:eastAsia="宋体" w:hAnsi="Arial" w:cs="Arial" w:hint="eastAsia"/>
          <w:lang w:val="zh-CN" w:eastAsia="zh-CN"/>
        </w:rPr>
        <w:t>考核制度</w:t>
      </w:r>
      <w:r w:rsidRPr="00F2521D">
        <w:rPr>
          <w:rFonts w:ascii="Times New Roman" w:eastAsia="宋体" w:hAnsi="Arial" w:cs="Arial" w:hint="eastAsia"/>
          <w:lang w:val="zh-CN" w:eastAsia="zh-CN"/>
        </w:rPr>
        <w:t>中。</w:t>
      </w:r>
      <w:r w:rsidRPr="00F2521D">
        <w:rPr>
          <w:rFonts w:ascii="Times New Roman" w:eastAsia="宋体" w:hAnsi="Times New Roman" w:cs="Arial"/>
          <w:lang w:val="zh-CN" w:eastAsia="zh-CN"/>
        </w:rPr>
        <w:t xml:space="preserve"> </w:t>
      </w:r>
    </w:p>
    <w:p w14:paraId="4B8C5B53" w14:textId="6D1E9C0A" w:rsidR="005158DC" w:rsidRDefault="005158DC" w:rsidP="00F35A2E">
      <w:pPr>
        <w:pStyle w:val="a8"/>
        <w:widowControl w:val="0"/>
        <w:numPr>
          <w:ilvl w:val="0"/>
          <w:numId w:val="7"/>
        </w:numPr>
        <w:spacing w:after="0" w:line="240" w:lineRule="auto"/>
        <w:rPr>
          <w:rFonts w:ascii="Times New Roman" w:eastAsia="宋体" w:hAnsi="Times New Roman" w:cs="Arial"/>
          <w:lang w:val="zh-CN" w:eastAsia="zh-CN"/>
        </w:rPr>
      </w:pPr>
      <w:r w:rsidRPr="00F2521D">
        <w:rPr>
          <w:rFonts w:ascii="Times New Roman" w:eastAsia="宋体" w:hAnsi="Times New Roman" w:cs="Arial" w:hint="eastAsia"/>
          <w:lang w:val="zh-CN" w:eastAsia="zh-CN"/>
        </w:rPr>
        <w:t>将</w:t>
      </w:r>
      <w:r>
        <w:rPr>
          <w:rFonts w:ascii="Times New Roman" w:eastAsia="宋体" w:hAnsi="Times New Roman" w:cs="Arial" w:hint="eastAsia"/>
          <w:lang w:val="zh-CN" w:eastAsia="zh-CN"/>
        </w:rPr>
        <w:t>银行</w:t>
      </w:r>
      <w:r w:rsidRPr="00F2521D">
        <w:rPr>
          <w:rFonts w:ascii="Times New Roman" w:eastAsia="宋体" w:hAnsi="Times New Roman" w:cs="Arial" w:hint="eastAsia"/>
          <w:lang w:val="zh-CN" w:eastAsia="zh-CN"/>
        </w:rPr>
        <w:t>业务</w:t>
      </w:r>
      <w:r>
        <w:rPr>
          <w:rFonts w:ascii="Times New Roman" w:eastAsia="宋体" w:hAnsi="Times New Roman" w:cs="Arial" w:hint="eastAsia"/>
          <w:lang w:val="zh-CN" w:eastAsia="zh-CN"/>
        </w:rPr>
        <w:t>逐步集中到</w:t>
      </w:r>
      <w:r w:rsidRPr="00F2521D">
        <w:rPr>
          <w:rFonts w:ascii="Times New Roman" w:eastAsia="宋体" w:hAnsi="Times New Roman" w:cs="Arial" w:hint="eastAsia"/>
          <w:lang w:val="zh-CN" w:eastAsia="zh-CN"/>
        </w:rPr>
        <w:t>与</w:t>
      </w:r>
      <w:r w:rsidRPr="008C194A">
        <w:rPr>
          <w:rFonts w:ascii="PMingLiU" w:eastAsia="宋体" w:hAnsi="PMingLiU" w:cs="Arial" w:hint="eastAsia"/>
          <w:lang w:val="zh-CN" w:eastAsia="zh-CN"/>
        </w:rPr>
        <w:t>可持续发展</w:t>
      </w:r>
      <w:r w:rsidRPr="00F2521D">
        <w:rPr>
          <w:rFonts w:ascii="Times New Roman" w:eastAsia="宋体" w:hAnsi="Times New Roman" w:cs="Arial" w:hint="eastAsia"/>
          <w:lang w:val="zh-CN" w:eastAsia="zh-CN"/>
        </w:rPr>
        <w:t>和低碳经济目标相一致的领域，推动产品创新，满足</w:t>
      </w:r>
      <w:r>
        <w:rPr>
          <w:rFonts w:ascii="Times New Roman" w:eastAsia="宋体" w:hAnsi="Times New Roman" w:cs="Arial" w:hint="eastAsia"/>
          <w:lang w:val="zh-CN" w:eastAsia="zh-CN"/>
        </w:rPr>
        <w:t>日益提高的对</w:t>
      </w:r>
      <w:r w:rsidRPr="00F2521D">
        <w:rPr>
          <w:rFonts w:ascii="Times New Roman" w:eastAsia="宋体" w:hAnsi="Times New Roman" w:cs="Arial" w:hint="eastAsia"/>
          <w:lang w:val="zh-CN" w:eastAsia="zh-CN"/>
        </w:rPr>
        <w:t>可持续</w:t>
      </w:r>
      <w:r>
        <w:rPr>
          <w:rFonts w:ascii="Times New Roman" w:eastAsia="宋体" w:hAnsi="Times New Roman" w:cs="Arial" w:hint="eastAsia"/>
          <w:lang w:val="zh-CN" w:eastAsia="zh-CN"/>
        </w:rPr>
        <w:t>金融产品的市场</w:t>
      </w:r>
      <w:r w:rsidRPr="008C194A">
        <w:rPr>
          <w:rFonts w:ascii="PMingLiU" w:eastAsia="宋体" w:hAnsi="PMingLiU" w:cs="Arial" w:hint="eastAsia"/>
          <w:lang w:val="zh-CN" w:eastAsia="zh-CN"/>
        </w:rPr>
        <w:t>需求</w:t>
      </w:r>
      <w:r w:rsidRPr="00F2521D">
        <w:rPr>
          <w:rFonts w:ascii="Times New Roman" w:eastAsia="宋体" w:hAnsi="Times New Roman" w:cs="Arial" w:hint="eastAsia"/>
          <w:lang w:val="zh-CN" w:eastAsia="zh-CN"/>
        </w:rPr>
        <w:t>。</w:t>
      </w:r>
    </w:p>
    <w:p w14:paraId="4A5516C8" w14:textId="77777777" w:rsidR="00F35A2E" w:rsidRPr="00F35A2E" w:rsidRDefault="00F35A2E" w:rsidP="00F35A2E">
      <w:pPr>
        <w:pStyle w:val="a8"/>
        <w:widowControl w:val="0"/>
        <w:spacing w:after="0" w:line="240" w:lineRule="auto"/>
        <w:ind w:left="360"/>
        <w:rPr>
          <w:rFonts w:ascii="Times New Roman" w:eastAsia="宋体" w:hAnsi="Times New Roman" w:cs="Arial"/>
          <w:lang w:val="zh-CN" w:eastAsia="zh-CN"/>
        </w:rPr>
      </w:pPr>
    </w:p>
    <w:p w14:paraId="629862BB" w14:textId="77777777" w:rsidR="005158DC" w:rsidRPr="00F35A2E" w:rsidRDefault="005158DC" w:rsidP="005158DC">
      <w:pPr>
        <w:rPr>
          <w:rFonts w:ascii="Times New Roman" w:hAnsi="Times New Roman"/>
          <w:lang w:val="zh-CN"/>
        </w:rPr>
      </w:pPr>
      <w:r w:rsidRPr="00F35A2E">
        <w:rPr>
          <w:rFonts w:ascii="Times New Roman" w:hAnsi="Arial" w:hint="eastAsia"/>
          <w:b/>
          <w:lang w:val="zh-CN" w:eastAsia="zh-CN"/>
        </w:rPr>
        <w:t>机构</w:t>
      </w:r>
      <w:proofErr w:type="spellStart"/>
      <w:r w:rsidRPr="00F35A2E">
        <w:rPr>
          <w:rFonts w:ascii="Times New Roman" w:hAnsi="Arial" w:hint="eastAsia"/>
          <w:b/>
          <w:lang w:val="zh-CN"/>
        </w:rPr>
        <w:t>投资者</w:t>
      </w:r>
      <w:proofErr w:type="spellEnd"/>
      <w:r w:rsidRPr="00F35A2E">
        <w:rPr>
          <w:rFonts w:ascii="Times New Roman" w:hAnsi="Times New Roman"/>
          <w:b/>
          <w:lang w:val="zh-CN"/>
        </w:rPr>
        <w:t xml:space="preserve"> </w:t>
      </w:r>
    </w:p>
    <w:p w14:paraId="0B108923" w14:textId="77777777" w:rsidR="005158DC" w:rsidRPr="00F2521D" w:rsidRDefault="005158DC" w:rsidP="005158DC">
      <w:pPr>
        <w:pStyle w:val="a8"/>
        <w:widowControl w:val="0"/>
        <w:numPr>
          <w:ilvl w:val="0"/>
          <w:numId w:val="8"/>
        </w:numPr>
        <w:spacing w:after="0" w:line="240" w:lineRule="auto"/>
        <w:ind w:left="360"/>
        <w:rPr>
          <w:rFonts w:ascii="Times New Roman" w:eastAsia="宋体" w:hAnsi="Times New Roman" w:cs="Arial"/>
          <w:lang w:val="zh-CN" w:eastAsia="zh-CN"/>
        </w:rPr>
      </w:pPr>
      <w:r>
        <w:rPr>
          <w:rFonts w:ascii="Times New Roman" w:eastAsia="宋体" w:hAnsi="Times New Roman" w:cs="Arial" w:hint="eastAsia"/>
          <w:lang w:val="zh-CN" w:eastAsia="zh-CN"/>
        </w:rPr>
        <w:t>投资者应当加强</w:t>
      </w:r>
      <w:r w:rsidRPr="00F2521D">
        <w:rPr>
          <w:rFonts w:ascii="Times New Roman" w:eastAsia="宋体" w:hAnsi="Times New Roman" w:cs="Arial" w:hint="eastAsia"/>
          <w:lang w:val="zh-CN" w:eastAsia="zh-CN"/>
        </w:rPr>
        <w:t>能力建设，</w:t>
      </w:r>
      <w:r>
        <w:rPr>
          <w:rFonts w:ascii="Times New Roman" w:eastAsia="宋体" w:hAnsi="Times New Roman" w:cs="Arial" w:hint="eastAsia"/>
          <w:lang w:val="zh-CN" w:eastAsia="zh-CN"/>
        </w:rPr>
        <w:t>争取在</w:t>
      </w:r>
      <w:r w:rsidRPr="00673A23">
        <w:rPr>
          <w:rFonts w:ascii="Times New Roman" w:eastAsia="宋体" w:hAnsi="Times New Roman" w:cs="Arial" w:hint="eastAsia"/>
          <w:lang w:val="zh-CN" w:eastAsia="zh-CN"/>
        </w:rPr>
        <w:t>其投资过程中</w:t>
      </w:r>
      <w:r>
        <w:rPr>
          <w:rFonts w:ascii="Times New Roman" w:eastAsia="宋体" w:hAnsi="Times New Roman" w:cs="Arial" w:hint="eastAsia"/>
          <w:lang w:val="zh-CN" w:eastAsia="zh-CN"/>
        </w:rPr>
        <w:t>充分</w:t>
      </w:r>
      <w:r w:rsidRPr="00924033">
        <w:rPr>
          <w:rFonts w:ascii="PMingLiU" w:eastAsia="宋体" w:hAnsi="PMingLiU" w:cs="Arial" w:hint="eastAsia"/>
          <w:lang w:val="zh-CN" w:eastAsia="zh-CN"/>
        </w:rPr>
        <w:t>考虑</w:t>
      </w:r>
      <w:r w:rsidRPr="00A30C73">
        <w:rPr>
          <w:rFonts w:ascii="Times New Roman" w:eastAsia="宋体" w:hAnsi="Times New Roman" w:cs="Arial"/>
          <w:lang w:val="zh-CN" w:eastAsia="zh-CN"/>
        </w:rPr>
        <w:t>ESG</w:t>
      </w:r>
      <w:r w:rsidRPr="00A30C73">
        <w:rPr>
          <w:rFonts w:ascii="Times New Roman" w:eastAsia="宋体" w:hAnsi="Times New Roman" w:cs="Arial" w:hint="eastAsia"/>
          <w:lang w:val="zh-CN" w:eastAsia="zh-CN"/>
        </w:rPr>
        <w:t>因素。</w:t>
      </w:r>
      <w:r>
        <w:rPr>
          <w:rFonts w:ascii="Times New Roman" w:eastAsia="宋体" w:hAnsi="Times New Roman" w:cs="Arial" w:hint="eastAsia"/>
          <w:lang w:val="zh-CN" w:eastAsia="zh-CN"/>
        </w:rPr>
        <w:t>具体内容</w:t>
      </w:r>
      <w:r w:rsidRPr="00F2521D">
        <w:rPr>
          <w:rFonts w:ascii="Times New Roman" w:eastAsia="宋体" w:hAnsi="Times New Roman" w:cs="Arial" w:hint="eastAsia"/>
          <w:lang w:val="zh-CN" w:eastAsia="zh-CN"/>
        </w:rPr>
        <w:t>包括</w:t>
      </w:r>
      <w:r>
        <w:rPr>
          <w:rFonts w:ascii="PMingLiU" w:eastAsia="宋体" w:hAnsi="PMingLiU" w:cs="Arial" w:hint="eastAsia"/>
          <w:lang w:val="zh-CN" w:eastAsia="zh-CN"/>
        </w:rPr>
        <w:t>评审</w:t>
      </w:r>
      <w:r w:rsidRPr="00BF79C6">
        <w:rPr>
          <w:rFonts w:ascii="Times New Roman" w:eastAsia="宋体" w:hAnsi="Times New Roman" w:cs="Arial" w:hint="eastAsia"/>
          <w:lang w:val="zh-CN" w:eastAsia="zh-CN"/>
        </w:rPr>
        <w:t>现有投资组合，</w:t>
      </w:r>
      <w:r w:rsidRPr="00BF79C6">
        <w:rPr>
          <w:rFonts w:ascii="PMingLiU" w:eastAsia="宋体" w:hAnsi="PMingLiU" w:cs="Arial" w:hint="eastAsia"/>
          <w:lang w:val="zh-CN" w:eastAsia="zh-CN"/>
        </w:rPr>
        <w:t>辨识</w:t>
      </w:r>
      <w:r w:rsidRPr="00BF79C6">
        <w:rPr>
          <w:rFonts w:ascii="Times New Roman" w:eastAsia="宋体" w:hAnsi="Times New Roman" w:cs="Arial" w:hint="eastAsia"/>
          <w:lang w:val="zh-CN" w:eastAsia="zh-CN"/>
        </w:rPr>
        <w:t>与</w:t>
      </w:r>
      <w:r w:rsidRPr="00BF79C6">
        <w:rPr>
          <w:rFonts w:ascii="Times New Roman" w:eastAsia="宋体" w:hAnsi="Times New Roman" w:cs="Arial"/>
          <w:lang w:val="zh-CN" w:eastAsia="zh-CN"/>
        </w:rPr>
        <w:t>ESG</w:t>
      </w:r>
      <w:r w:rsidRPr="00BF79C6">
        <w:rPr>
          <w:rFonts w:ascii="Times New Roman" w:eastAsia="宋体" w:hAnsi="Times New Roman" w:cs="Arial" w:hint="eastAsia"/>
          <w:lang w:val="zh-CN" w:eastAsia="zh-CN"/>
        </w:rPr>
        <w:t>有关的</w:t>
      </w:r>
      <w:r w:rsidRPr="00BF79C6">
        <w:rPr>
          <w:rFonts w:ascii="PMingLiU" w:eastAsia="宋体" w:hAnsi="PMingLiU" w:cs="Arial" w:hint="eastAsia"/>
          <w:lang w:val="zh-CN" w:eastAsia="zh-CN"/>
        </w:rPr>
        <w:t>风险</w:t>
      </w:r>
      <w:r w:rsidRPr="00BF79C6">
        <w:rPr>
          <w:rFonts w:ascii="Times New Roman" w:eastAsia="宋体" w:hAnsi="Times New Roman" w:cs="Arial" w:hint="eastAsia"/>
          <w:lang w:val="zh-CN" w:eastAsia="zh-CN"/>
        </w:rPr>
        <w:t>和机遇，在</w:t>
      </w:r>
      <w:r w:rsidRPr="00BF79C6">
        <w:rPr>
          <w:rFonts w:ascii="PMingLiU" w:eastAsia="宋体" w:hAnsi="PMingLiU" w:cs="Arial" w:hint="eastAsia"/>
          <w:lang w:val="zh-CN" w:eastAsia="zh-CN"/>
        </w:rPr>
        <w:t>资产</w:t>
      </w:r>
      <w:r w:rsidRPr="00BF79C6">
        <w:rPr>
          <w:rFonts w:ascii="Times New Roman" w:eastAsia="宋体" w:hAnsi="Times New Roman" w:cs="Arial" w:hint="eastAsia"/>
          <w:lang w:val="zh-CN" w:eastAsia="zh-CN"/>
        </w:rPr>
        <w:t>价格中恰当反映环境因素，将其投资组合的</w:t>
      </w:r>
      <w:r w:rsidRPr="00BF79C6">
        <w:rPr>
          <w:rFonts w:ascii="Times New Roman" w:eastAsia="宋体" w:hAnsi="Times New Roman" w:cs="Arial"/>
          <w:lang w:val="zh-CN" w:eastAsia="zh-CN"/>
        </w:rPr>
        <w:t>ESG</w:t>
      </w:r>
      <w:r w:rsidRPr="00BF79C6">
        <w:rPr>
          <w:rFonts w:ascii="Times New Roman" w:eastAsia="宋体" w:hAnsi="Times New Roman" w:cs="Arial" w:hint="eastAsia"/>
          <w:lang w:val="zh-CN" w:eastAsia="zh-CN"/>
        </w:rPr>
        <w:t>分数</w:t>
      </w:r>
      <w:r w:rsidRPr="00BF79C6">
        <w:rPr>
          <w:rFonts w:ascii="Times New Roman" w:eastAsia="宋体" w:hAnsi="Times New Roman" w:cs="Arial"/>
          <w:lang w:val="zh-CN" w:eastAsia="zh-CN"/>
        </w:rPr>
        <w:t>/</w:t>
      </w:r>
      <w:r w:rsidRPr="00BF79C6">
        <w:rPr>
          <w:rFonts w:ascii="Times New Roman" w:eastAsia="宋体" w:hAnsi="Times New Roman" w:cs="Arial" w:hint="eastAsia"/>
          <w:lang w:val="zh-CN" w:eastAsia="zh-CN"/>
        </w:rPr>
        <w:t>权重与相关标准进行比较。</w:t>
      </w:r>
    </w:p>
    <w:p w14:paraId="1469B818" w14:textId="77777777" w:rsidR="005158DC" w:rsidRDefault="005158DC" w:rsidP="005158DC">
      <w:pPr>
        <w:pStyle w:val="a8"/>
        <w:widowControl w:val="0"/>
        <w:numPr>
          <w:ilvl w:val="0"/>
          <w:numId w:val="8"/>
        </w:numPr>
        <w:spacing w:after="0" w:line="240" w:lineRule="auto"/>
        <w:ind w:left="360"/>
        <w:rPr>
          <w:rFonts w:ascii="Times New Roman" w:eastAsia="宋体" w:hAnsi="Times New Roman" w:cs="Arial"/>
          <w:lang w:val="zh-CN" w:eastAsia="zh-CN"/>
        </w:rPr>
      </w:pPr>
      <w:r>
        <w:rPr>
          <w:rFonts w:ascii="Times New Roman" w:eastAsia="宋体" w:hAnsi="Times New Roman" w:cs="Arial" w:hint="eastAsia"/>
          <w:lang w:val="zh-CN" w:eastAsia="zh-CN"/>
        </w:rPr>
        <w:t>充分发挥股东对被投资机构的影响力，</w:t>
      </w:r>
      <w:r w:rsidRPr="00842A54">
        <w:rPr>
          <w:rFonts w:ascii="Times New Roman" w:eastAsia="宋体" w:hAnsi="Times New Roman" w:cs="Arial" w:hint="eastAsia"/>
          <w:lang w:val="zh-CN" w:eastAsia="zh-CN"/>
        </w:rPr>
        <w:t>与公司进行互动，确保</w:t>
      </w:r>
      <w:r>
        <w:rPr>
          <w:rFonts w:ascii="Times New Roman" w:eastAsia="宋体" w:hAnsi="Times New Roman" w:cs="Arial" w:hint="eastAsia"/>
          <w:lang w:val="zh-CN" w:eastAsia="zh-CN"/>
        </w:rPr>
        <w:t>被投资公司</w:t>
      </w:r>
      <w:r w:rsidRPr="00842A54">
        <w:rPr>
          <w:rFonts w:ascii="Times New Roman" w:eastAsia="宋体" w:hAnsi="Times New Roman" w:cs="Arial" w:hint="eastAsia"/>
          <w:lang w:val="zh-CN" w:eastAsia="zh-CN"/>
        </w:rPr>
        <w:t>清楚了解</w:t>
      </w:r>
      <w:r>
        <w:rPr>
          <w:rFonts w:ascii="Times New Roman" w:eastAsia="宋体" w:hAnsi="Times New Roman" w:cs="Arial" w:hint="eastAsia"/>
          <w:lang w:val="zh-CN" w:eastAsia="zh-CN"/>
        </w:rPr>
        <w:t>股东对企业</w:t>
      </w:r>
      <w:r w:rsidRPr="00842A54">
        <w:rPr>
          <w:rFonts w:ascii="Times New Roman" w:eastAsia="宋体" w:hAnsi="Times New Roman" w:cs="Arial"/>
          <w:lang w:val="zh-CN" w:eastAsia="zh-CN"/>
        </w:rPr>
        <w:t>ESG</w:t>
      </w:r>
      <w:r>
        <w:rPr>
          <w:rFonts w:ascii="Times New Roman" w:eastAsia="宋体" w:hAnsi="Times New Roman" w:cs="Arial" w:hint="eastAsia"/>
          <w:lang w:val="zh-CN" w:eastAsia="zh-CN"/>
        </w:rPr>
        <w:t>表现的关注</w:t>
      </w:r>
      <w:r w:rsidRPr="00842A54">
        <w:rPr>
          <w:rFonts w:ascii="Times New Roman" w:eastAsia="宋体" w:hAnsi="Times New Roman" w:cs="Arial" w:hint="eastAsia"/>
          <w:lang w:val="zh-CN" w:eastAsia="zh-CN"/>
        </w:rPr>
        <w:t>。</w:t>
      </w:r>
    </w:p>
    <w:p w14:paraId="36C822EC" w14:textId="77777777" w:rsidR="005158DC" w:rsidRPr="00842A54" w:rsidRDefault="005158DC" w:rsidP="005158DC">
      <w:pPr>
        <w:pStyle w:val="a8"/>
        <w:widowControl w:val="0"/>
        <w:numPr>
          <w:ilvl w:val="0"/>
          <w:numId w:val="8"/>
        </w:numPr>
        <w:spacing w:after="0" w:line="240" w:lineRule="auto"/>
        <w:ind w:left="360"/>
        <w:rPr>
          <w:rFonts w:ascii="Times New Roman" w:eastAsia="宋体" w:hAnsi="Times New Roman" w:cs="Arial"/>
          <w:lang w:val="da-DK" w:eastAsia="zh-CN"/>
        </w:rPr>
      </w:pPr>
      <w:r w:rsidRPr="00842A54">
        <w:rPr>
          <w:rFonts w:ascii="Times New Roman" w:eastAsia="宋体" w:hAnsi="Times New Roman" w:cs="Arial" w:hint="eastAsia"/>
          <w:lang w:val="zh-CN" w:eastAsia="zh-CN"/>
        </w:rPr>
        <w:t>与</w:t>
      </w:r>
      <w:r>
        <w:rPr>
          <w:rFonts w:ascii="Times New Roman" w:eastAsia="宋体" w:hAnsi="Times New Roman" w:cs="Arial" w:hint="eastAsia"/>
          <w:lang w:val="zh-CN" w:eastAsia="zh-CN"/>
        </w:rPr>
        <w:t>政策制定者合作开展前瞻性环境风险分析</w:t>
      </w:r>
      <w:r w:rsidRPr="00842A54">
        <w:rPr>
          <w:rFonts w:ascii="Times New Roman" w:eastAsia="宋体" w:hAnsi="Times New Roman" w:cs="Arial" w:hint="eastAsia"/>
          <w:lang w:val="zh-CN" w:eastAsia="zh-CN"/>
        </w:rPr>
        <w:t>，</w:t>
      </w:r>
      <w:r>
        <w:rPr>
          <w:rFonts w:ascii="Times New Roman" w:eastAsia="宋体" w:hAnsi="Times New Roman" w:cs="Arial" w:hint="eastAsia"/>
          <w:lang w:val="zh-CN" w:eastAsia="zh-CN"/>
        </w:rPr>
        <w:t>考虑环境风险的长期影响。通过</w:t>
      </w:r>
      <w:r w:rsidRPr="00842A54">
        <w:rPr>
          <w:rFonts w:ascii="Times New Roman" w:eastAsia="宋体" w:hAnsi="Times New Roman" w:cs="Arial" w:hint="eastAsia"/>
          <w:lang w:val="zh-CN" w:eastAsia="zh-CN"/>
        </w:rPr>
        <w:t>建立</w:t>
      </w:r>
      <w:r>
        <w:rPr>
          <w:rFonts w:ascii="Times New Roman" w:eastAsia="宋体" w:hAnsi="Times New Roman" w:cs="Arial" w:hint="eastAsia"/>
          <w:lang w:val="zh-CN" w:eastAsia="zh-CN"/>
        </w:rPr>
        <w:t>环境</w:t>
      </w:r>
      <w:r w:rsidRPr="00842A54">
        <w:rPr>
          <w:rFonts w:ascii="Times New Roman" w:eastAsia="宋体" w:hAnsi="Times New Roman" w:cs="Arial" w:hint="eastAsia"/>
          <w:lang w:val="zh-CN" w:eastAsia="zh-CN"/>
        </w:rPr>
        <w:t>压力测试模型，提高对重大环境风险因素的</w:t>
      </w:r>
      <w:r>
        <w:rPr>
          <w:rFonts w:ascii="Times New Roman" w:eastAsia="宋体" w:hAnsi="Times New Roman" w:cs="Arial" w:hint="eastAsia"/>
          <w:lang w:val="zh-CN" w:eastAsia="zh-CN"/>
        </w:rPr>
        <w:t>识别和</w:t>
      </w:r>
      <w:r w:rsidRPr="00842A54">
        <w:rPr>
          <w:rFonts w:ascii="Times New Roman" w:eastAsia="宋体" w:hAnsi="Times New Roman" w:cs="Arial" w:hint="eastAsia"/>
          <w:lang w:val="zh-CN" w:eastAsia="zh-CN"/>
        </w:rPr>
        <w:t>管理</w:t>
      </w:r>
      <w:r>
        <w:rPr>
          <w:rFonts w:ascii="Times New Roman" w:eastAsia="宋体" w:hAnsi="Times New Roman" w:cs="Arial" w:hint="eastAsia"/>
          <w:lang w:val="zh-CN" w:eastAsia="zh-CN"/>
        </w:rPr>
        <w:t>能力</w:t>
      </w:r>
      <w:r w:rsidRPr="00842A54">
        <w:rPr>
          <w:rFonts w:ascii="Times New Roman" w:eastAsia="宋体" w:hAnsi="Times New Roman" w:cs="Arial" w:hint="eastAsia"/>
          <w:lang w:val="zh-CN" w:eastAsia="zh-CN"/>
        </w:rPr>
        <w:t>，</w:t>
      </w:r>
      <w:r>
        <w:rPr>
          <w:rFonts w:ascii="Times New Roman" w:eastAsia="宋体" w:hAnsi="Times New Roman" w:cs="Arial" w:hint="eastAsia"/>
          <w:lang w:val="zh-CN" w:eastAsia="zh-CN"/>
        </w:rPr>
        <w:t>养成</w:t>
      </w:r>
      <w:r w:rsidRPr="00842A54">
        <w:rPr>
          <w:rFonts w:ascii="Times New Roman" w:eastAsia="宋体" w:hAnsi="Times New Roman" w:cs="Arial" w:hint="eastAsia"/>
          <w:lang w:val="zh-CN" w:eastAsia="zh-CN"/>
        </w:rPr>
        <w:t>投资者对情景分析的使用</w:t>
      </w:r>
      <w:r>
        <w:rPr>
          <w:rFonts w:ascii="Times New Roman" w:eastAsia="宋体" w:hAnsi="Times New Roman" w:cs="Arial" w:hint="eastAsia"/>
          <w:lang w:val="zh-CN" w:eastAsia="zh-CN"/>
        </w:rPr>
        <w:t>习惯</w:t>
      </w:r>
      <w:r w:rsidRPr="00842A54">
        <w:rPr>
          <w:rFonts w:ascii="Times New Roman" w:eastAsia="宋体" w:hAnsi="Times New Roman" w:cs="Arial" w:hint="eastAsia"/>
          <w:lang w:val="zh-CN" w:eastAsia="zh-CN"/>
        </w:rPr>
        <w:t>。</w:t>
      </w:r>
      <w:r w:rsidRPr="00842A54">
        <w:rPr>
          <w:rFonts w:ascii="Times New Roman" w:eastAsia="宋体" w:hAnsi="Times New Roman" w:cs="Arial"/>
          <w:lang w:val="zh-CN" w:eastAsia="zh-CN"/>
        </w:rPr>
        <w:t xml:space="preserve"> </w:t>
      </w:r>
    </w:p>
    <w:p w14:paraId="36F08609" w14:textId="77777777" w:rsidR="005158DC" w:rsidRDefault="005158DC" w:rsidP="005158DC">
      <w:pPr>
        <w:pStyle w:val="a8"/>
        <w:widowControl w:val="0"/>
        <w:numPr>
          <w:ilvl w:val="0"/>
          <w:numId w:val="8"/>
        </w:numPr>
        <w:spacing w:after="0" w:line="240" w:lineRule="auto"/>
        <w:ind w:left="360"/>
        <w:rPr>
          <w:rFonts w:ascii="Times New Roman" w:eastAsia="宋体" w:hAnsi="Arial" w:cs="Arial"/>
          <w:lang w:val="zh-CN" w:eastAsia="zh-CN"/>
        </w:rPr>
      </w:pPr>
      <w:r w:rsidRPr="00842A54">
        <w:rPr>
          <w:rFonts w:ascii="Times New Roman" w:eastAsia="宋体" w:hAnsi="Arial" w:cs="Arial" w:hint="eastAsia"/>
          <w:lang w:val="zh-CN" w:eastAsia="zh-CN"/>
        </w:rPr>
        <w:t>制定市场教育计划，介绍绿色债券发行的好处和挑战，</w:t>
      </w:r>
      <w:r>
        <w:rPr>
          <w:rFonts w:ascii="Times New Roman" w:eastAsia="宋体" w:hAnsi="Arial" w:cs="Arial" w:hint="eastAsia"/>
          <w:lang w:val="zh-CN" w:eastAsia="zh-CN"/>
        </w:rPr>
        <w:t>并</w:t>
      </w:r>
      <w:r w:rsidRPr="00842A54">
        <w:rPr>
          <w:rFonts w:ascii="Times New Roman" w:eastAsia="宋体" w:hAnsi="Arial" w:cs="Arial" w:hint="eastAsia"/>
          <w:lang w:val="zh-CN" w:eastAsia="zh-CN"/>
        </w:rPr>
        <w:t>帮助国际投资者了解中国</w:t>
      </w:r>
      <w:r w:rsidRPr="00842A54">
        <w:rPr>
          <w:rFonts w:ascii="Times New Roman" w:eastAsia="宋体" w:hAnsi="Arial" w:cs="Arial" w:hint="eastAsia"/>
          <w:lang w:val="zh-CN" w:eastAsia="zh-CN"/>
        </w:rPr>
        <w:lastRenderedPageBreak/>
        <w:t>绿色债券市场。</w:t>
      </w:r>
    </w:p>
    <w:p w14:paraId="4452D9FE" w14:textId="77777777" w:rsidR="005158DC" w:rsidRPr="00EA49A2" w:rsidRDefault="005158DC" w:rsidP="005158DC">
      <w:pPr>
        <w:pStyle w:val="a8"/>
        <w:widowControl w:val="0"/>
        <w:numPr>
          <w:ilvl w:val="0"/>
          <w:numId w:val="8"/>
        </w:numPr>
        <w:spacing w:after="0" w:line="240" w:lineRule="auto"/>
        <w:ind w:left="360"/>
        <w:rPr>
          <w:rFonts w:ascii="Times New Roman" w:eastAsia="宋体" w:hAnsi="Arial" w:cs="Arial"/>
          <w:lang w:val="zh-CN" w:eastAsia="zh-CN"/>
        </w:rPr>
      </w:pPr>
      <w:r>
        <w:rPr>
          <w:rFonts w:ascii="Times New Roman" w:eastAsia="宋体" w:hAnsi="Arial" w:cs="Arial" w:hint="eastAsia"/>
          <w:lang w:val="zh-CN" w:eastAsia="zh-CN"/>
        </w:rPr>
        <w:t>未推动</w:t>
      </w:r>
      <w:r w:rsidRPr="00EA49A2">
        <w:rPr>
          <w:rFonts w:ascii="Times New Roman" w:eastAsia="宋体" w:hAnsi="Times New Roman" w:cs="Arial" w:hint="eastAsia"/>
          <w:lang w:val="da-DK" w:eastAsia="zh-CN"/>
        </w:rPr>
        <w:t>中英两国</w:t>
      </w:r>
      <w:r>
        <w:rPr>
          <w:rFonts w:ascii="Times New Roman" w:eastAsia="宋体" w:hAnsi="Times New Roman" w:cs="Arial" w:hint="eastAsia"/>
          <w:lang w:val="da-DK" w:eastAsia="zh-CN"/>
        </w:rPr>
        <w:t>绿色</w:t>
      </w:r>
      <w:r w:rsidRPr="00EA49A2">
        <w:rPr>
          <w:rFonts w:ascii="Times New Roman" w:eastAsia="宋体" w:hAnsi="Times New Roman" w:cs="Arial" w:hint="eastAsia"/>
          <w:lang w:val="da-DK" w:eastAsia="zh-CN"/>
        </w:rPr>
        <w:t>投资者</w:t>
      </w:r>
      <w:r>
        <w:rPr>
          <w:rFonts w:ascii="Times New Roman" w:eastAsia="宋体" w:hAnsi="Times New Roman" w:cs="Arial" w:hint="eastAsia"/>
          <w:lang w:val="da-DK" w:eastAsia="zh-CN"/>
        </w:rPr>
        <w:t>能力建设</w:t>
      </w:r>
      <w:r w:rsidRPr="00EA49A2">
        <w:rPr>
          <w:rFonts w:ascii="Times New Roman" w:eastAsia="宋体" w:hAnsi="Times New Roman" w:cs="Arial" w:hint="eastAsia"/>
          <w:lang w:val="da-DK" w:eastAsia="zh-CN"/>
        </w:rPr>
        <w:t>，中国</w:t>
      </w:r>
      <w:r>
        <w:rPr>
          <w:rFonts w:ascii="Times New Roman" w:eastAsia="宋体" w:hAnsi="Times New Roman" w:cs="Arial" w:hint="eastAsia"/>
          <w:lang w:val="da-DK" w:eastAsia="zh-CN"/>
        </w:rPr>
        <w:t>绿金委</w:t>
      </w:r>
      <w:r w:rsidRPr="00EA49A2">
        <w:rPr>
          <w:rFonts w:ascii="Times New Roman" w:eastAsia="宋体" w:hAnsi="Times New Roman" w:cs="Arial" w:hint="eastAsia"/>
          <w:lang w:val="da-DK" w:eastAsia="zh-CN"/>
        </w:rPr>
        <w:t>和</w:t>
      </w:r>
      <w:r w:rsidRPr="00EA49A2">
        <w:rPr>
          <w:rFonts w:ascii="Times New Roman" w:eastAsia="宋体" w:hAnsi="Times New Roman" w:cs="Arial" w:hint="eastAsia"/>
          <w:lang w:val="da-DK" w:eastAsia="zh-CN"/>
        </w:rPr>
        <w:t>UNPRI</w:t>
      </w:r>
      <w:r>
        <w:rPr>
          <w:rFonts w:ascii="Times New Roman" w:eastAsia="宋体" w:hAnsi="Times New Roman" w:cs="Arial" w:hint="eastAsia"/>
          <w:lang w:val="da-DK" w:eastAsia="zh-CN"/>
        </w:rPr>
        <w:t>应当推广前瞻性的环境风险分析，包括提供对环境和气候风险和机遇进行</w:t>
      </w:r>
      <w:r w:rsidRPr="00EA49A2">
        <w:rPr>
          <w:rFonts w:ascii="Times New Roman" w:eastAsia="宋体" w:hAnsi="Times New Roman" w:cs="Arial" w:hint="eastAsia"/>
          <w:lang w:val="da-DK" w:eastAsia="zh-CN"/>
        </w:rPr>
        <w:t>压力测试与情景分析</w:t>
      </w:r>
      <w:r>
        <w:rPr>
          <w:rFonts w:ascii="Times New Roman" w:eastAsia="宋体" w:hAnsi="Times New Roman" w:cs="Arial" w:hint="eastAsia"/>
          <w:lang w:val="da-DK" w:eastAsia="zh-CN"/>
        </w:rPr>
        <w:t>的方法</w:t>
      </w:r>
      <w:r w:rsidRPr="00EA49A2">
        <w:rPr>
          <w:rFonts w:ascii="Times New Roman" w:eastAsia="宋体" w:hAnsi="Times New Roman" w:cs="Arial" w:hint="eastAsia"/>
          <w:lang w:val="da-DK" w:eastAsia="zh-CN"/>
        </w:rPr>
        <w:t>。</w:t>
      </w:r>
    </w:p>
    <w:p w14:paraId="3981AD21" w14:textId="77777777" w:rsidR="005158DC" w:rsidRPr="00842A54" w:rsidRDefault="005158DC" w:rsidP="005158DC">
      <w:pPr>
        <w:pStyle w:val="a8"/>
        <w:widowControl w:val="0"/>
        <w:spacing w:after="0" w:line="240" w:lineRule="auto"/>
        <w:ind w:left="360"/>
        <w:rPr>
          <w:rFonts w:ascii="Times New Roman" w:eastAsia="宋体" w:hAnsi="Times New Roman" w:cs="Arial"/>
          <w:lang w:val="da-DK" w:eastAsia="zh-CN"/>
        </w:rPr>
      </w:pPr>
    </w:p>
    <w:p w14:paraId="3EDBAC3F" w14:textId="77777777" w:rsidR="005158DC" w:rsidRPr="00F35A2E" w:rsidRDefault="005158DC" w:rsidP="005158DC">
      <w:pPr>
        <w:rPr>
          <w:rFonts w:ascii="Times New Roman" w:hAnsi="Arial"/>
          <w:b/>
          <w:lang w:val="zh-CN"/>
        </w:rPr>
      </w:pPr>
      <w:proofErr w:type="spellStart"/>
      <w:r w:rsidRPr="00F35A2E">
        <w:rPr>
          <w:rFonts w:ascii="Times New Roman" w:hAnsi="Arial" w:hint="eastAsia"/>
          <w:b/>
          <w:lang w:val="zh-CN"/>
        </w:rPr>
        <w:t>企业</w:t>
      </w:r>
      <w:proofErr w:type="spellEnd"/>
    </w:p>
    <w:p w14:paraId="0C6BBDE3" w14:textId="77777777" w:rsidR="005158DC" w:rsidRPr="00F2521D" w:rsidRDefault="005158DC" w:rsidP="005158DC">
      <w:pPr>
        <w:widowControl w:val="0"/>
        <w:numPr>
          <w:ilvl w:val="0"/>
          <w:numId w:val="6"/>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企业</w:t>
      </w:r>
      <w:r w:rsidRPr="00673A23">
        <w:rPr>
          <w:rFonts w:ascii="Times New Roman" w:eastAsia="宋体" w:hAnsi="Arial" w:cs="Arial" w:hint="eastAsia"/>
          <w:lang w:val="zh-CN" w:eastAsia="zh-CN"/>
        </w:rPr>
        <w:t>应当与</w:t>
      </w:r>
      <w:r>
        <w:rPr>
          <w:rFonts w:ascii="Times New Roman" w:eastAsia="宋体" w:hAnsi="Arial" w:cs="Arial" w:hint="eastAsia"/>
          <w:lang w:val="zh-CN" w:eastAsia="zh-CN"/>
        </w:rPr>
        <w:t>投资者和银行展开</w:t>
      </w:r>
      <w:r w:rsidRPr="00F2521D">
        <w:rPr>
          <w:rFonts w:ascii="Times New Roman" w:eastAsia="宋体" w:hAnsi="Arial" w:cs="Arial" w:hint="eastAsia"/>
          <w:lang w:val="zh-CN" w:eastAsia="zh-CN"/>
        </w:rPr>
        <w:t>对话</w:t>
      </w:r>
      <w:r>
        <w:rPr>
          <w:rFonts w:ascii="Times New Roman" w:eastAsia="宋体" w:hAnsi="Arial" w:cs="Arial" w:hint="eastAsia"/>
          <w:lang w:val="zh-CN" w:eastAsia="zh-CN"/>
        </w:rPr>
        <w:t>，共同探讨</w:t>
      </w:r>
      <w:r w:rsidRPr="00673A23">
        <w:rPr>
          <w:rFonts w:ascii="Times New Roman" w:eastAsia="宋体" w:hAnsi="Arial" w:cs="Arial" w:hint="eastAsia"/>
          <w:lang w:val="zh-CN" w:eastAsia="zh-CN"/>
        </w:rPr>
        <w:t>如何将</w:t>
      </w:r>
      <w:r w:rsidRPr="00A30C73">
        <w:rPr>
          <w:rFonts w:ascii="Times New Roman" w:eastAsia="宋体" w:hAnsi="Arial" w:cs="Arial" w:hint="eastAsia"/>
          <w:lang w:val="zh-CN" w:eastAsia="zh-CN"/>
        </w:rPr>
        <w:t>ESG</w:t>
      </w:r>
      <w:r w:rsidRPr="00A30C73">
        <w:rPr>
          <w:rFonts w:ascii="Times New Roman" w:eastAsia="宋体" w:hAnsi="Arial" w:cs="Arial" w:hint="eastAsia"/>
          <w:lang w:val="zh-CN" w:eastAsia="zh-CN"/>
        </w:rPr>
        <w:t>因素</w:t>
      </w:r>
      <w:r>
        <w:rPr>
          <w:rFonts w:ascii="Times New Roman" w:eastAsia="宋体" w:hAnsi="Arial" w:cs="Arial" w:hint="eastAsia"/>
          <w:lang w:val="zh-CN" w:eastAsia="zh-CN"/>
        </w:rPr>
        <w:t>纳入到企业</w:t>
      </w:r>
      <w:r w:rsidRPr="00A30C73">
        <w:rPr>
          <w:rFonts w:ascii="Times New Roman" w:eastAsia="宋体" w:hAnsi="Arial" w:cs="Arial" w:hint="eastAsia"/>
          <w:lang w:val="zh-CN" w:eastAsia="zh-CN"/>
        </w:rPr>
        <w:t>战略中</w:t>
      </w:r>
      <w:r>
        <w:rPr>
          <w:rFonts w:ascii="Times New Roman" w:eastAsia="宋体" w:hAnsi="Arial" w:cs="Arial" w:hint="eastAsia"/>
          <w:lang w:val="zh-CN" w:eastAsia="zh-CN"/>
        </w:rPr>
        <w:t>，并通过改善</w:t>
      </w:r>
      <w:r>
        <w:rPr>
          <w:rFonts w:ascii="Times New Roman" w:eastAsia="宋体" w:hAnsi="Arial" w:cs="Arial" w:hint="eastAsia"/>
          <w:lang w:val="zh-CN" w:eastAsia="zh-CN"/>
        </w:rPr>
        <w:t>ESG</w:t>
      </w:r>
      <w:r>
        <w:rPr>
          <w:rFonts w:ascii="Times New Roman" w:eastAsia="宋体" w:hAnsi="Arial" w:cs="Arial" w:hint="eastAsia"/>
          <w:lang w:val="zh-CN" w:eastAsia="zh-CN"/>
        </w:rPr>
        <w:t>表现来</w:t>
      </w:r>
      <w:r w:rsidRPr="00A30C73">
        <w:rPr>
          <w:rFonts w:ascii="Times New Roman" w:eastAsia="宋体" w:hAnsi="Arial" w:cs="Arial" w:hint="eastAsia"/>
          <w:lang w:val="zh-CN" w:eastAsia="zh-CN"/>
        </w:rPr>
        <w:t>降低</w:t>
      </w:r>
      <w:r>
        <w:rPr>
          <w:rFonts w:ascii="Times New Roman" w:eastAsia="宋体" w:hAnsi="Arial" w:cs="Arial" w:hint="eastAsia"/>
          <w:lang w:val="zh-CN" w:eastAsia="zh-CN"/>
        </w:rPr>
        <w:t>其融资</w:t>
      </w:r>
      <w:r w:rsidRPr="00A30C73">
        <w:rPr>
          <w:rFonts w:ascii="Times New Roman" w:eastAsia="宋体" w:hAnsi="Arial" w:cs="Arial" w:hint="eastAsia"/>
          <w:lang w:val="zh-CN" w:eastAsia="zh-CN"/>
        </w:rPr>
        <w:t>成本</w:t>
      </w:r>
      <w:r w:rsidRPr="00F2521D">
        <w:rPr>
          <w:rFonts w:ascii="Times New Roman" w:eastAsia="宋体" w:hAnsi="Arial" w:cs="Arial" w:hint="eastAsia"/>
          <w:lang w:val="zh-CN" w:eastAsia="zh-CN"/>
        </w:rPr>
        <w:t>。</w:t>
      </w:r>
    </w:p>
    <w:p w14:paraId="1C606E81" w14:textId="77777777" w:rsidR="005158DC" w:rsidRDefault="005158DC" w:rsidP="005158DC">
      <w:pPr>
        <w:widowControl w:val="0"/>
        <w:numPr>
          <w:ilvl w:val="0"/>
          <w:numId w:val="6"/>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企业应当思考重新进行战略定位，抓住绿色发展</w:t>
      </w:r>
      <w:r w:rsidRPr="00F2521D">
        <w:rPr>
          <w:rFonts w:ascii="Times New Roman" w:eastAsia="宋体" w:hAnsi="Arial" w:cs="Arial" w:hint="eastAsia"/>
          <w:lang w:val="zh-CN" w:eastAsia="zh-CN"/>
        </w:rPr>
        <w:t>机遇，在某些细分市场获得先发优势，例如电动汽车、电池储能、</w:t>
      </w:r>
      <w:r w:rsidRPr="00F36F8C">
        <w:rPr>
          <w:rFonts w:ascii="PMingLiU" w:eastAsia="宋体" w:hAnsi="PMingLiU" w:cs="Arial" w:hint="eastAsia"/>
          <w:lang w:val="zh-CN" w:eastAsia="zh-CN"/>
        </w:rPr>
        <w:t>绿色建筑</w:t>
      </w:r>
      <w:r w:rsidRPr="00F2521D">
        <w:rPr>
          <w:rFonts w:ascii="Times New Roman" w:eastAsia="宋体" w:hAnsi="Arial" w:cs="Arial" w:hint="eastAsia"/>
          <w:lang w:val="zh-CN" w:eastAsia="zh-CN"/>
        </w:rPr>
        <w:t>、绿色基础设施</w:t>
      </w:r>
      <w:r>
        <w:rPr>
          <w:rFonts w:ascii="Times New Roman" w:eastAsia="宋体" w:hAnsi="Arial" w:cs="Arial" w:hint="eastAsia"/>
          <w:lang w:val="zh-CN" w:eastAsia="zh-CN"/>
        </w:rPr>
        <w:t>、绿色</w:t>
      </w:r>
      <w:r w:rsidRPr="00F2521D">
        <w:rPr>
          <w:rFonts w:ascii="Times New Roman" w:eastAsia="宋体" w:hAnsi="Arial" w:cs="Arial" w:hint="eastAsia"/>
          <w:lang w:val="zh-CN" w:eastAsia="zh-CN"/>
        </w:rPr>
        <w:t>供应链</w:t>
      </w:r>
      <w:r>
        <w:rPr>
          <w:rFonts w:ascii="Times New Roman" w:eastAsia="宋体" w:hAnsi="Arial" w:cs="Arial" w:hint="eastAsia"/>
          <w:lang w:val="zh-CN" w:eastAsia="zh-CN"/>
        </w:rPr>
        <w:t>等</w:t>
      </w:r>
      <w:r w:rsidRPr="00F2521D">
        <w:rPr>
          <w:rFonts w:ascii="Times New Roman" w:eastAsia="宋体" w:hAnsi="Arial" w:cs="Arial" w:hint="eastAsia"/>
          <w:lang w:val="zh-CN" w:eastAsia="zh-CN"/>
        </w:rPr>
        <w:t>。</w:t>
      </w:r>
      <w:r w:rsidRPr="00F2521D">
        <w:rPr>
          <w:rFonts w:ascii="Times New Roman" w:eastAsia="宋体" w:hAnsi="Times New Roman" w:cs="Arial"/>
          <w:lang w:val="zh-CN" w:eastAsia="zh-CN"/>
        </w:rPr>
        <w:t xml:space="preserve"> </w:t>
      </w:r>
    </w:p>
    <w:p w14:paraId="3A7C17D1" w14:textId="77777777" w:rsidR="005158DC" w:rsidRPr="000735F0" w:rsidRDefault="005158DC" w:rsidP="005158DC">
      <w:pPr>
        <w:widowControl w:val="0"/>
        <w:numPr>
          <w:ilvl w:val="0"/>
          <w:numId w:val="6"/>
        </w:numPr>
        <w:spacing w:after="0" w:line="240" w:lineRule="auto"/>
        <w:rPr>
          <w:rFonts w:ascii="Times New Roman" w:eastAsia="宋体" w:hAnsi="Times New Roman" w:cs="Arial"/>
          <w:lang w:val="zh-CN" w:eastAsia="zh-CN"/>
        </w:rPr>
      </w:pPr>
      <w:r w:rsidRPr="00F2521D">
        <w:rPr>
          <w:rFonts w:ascii="Times New Roman" w:eastAsia="宋体" w:hAnsi="Times New Roman" w:cs="Arial" w:hint="eastAsia"/>
          <w:lang w:val="zh-CN" w:eastAsia="zh-CN"/>
        </w:rPr>
        <w:t>采纳</w:t>
      </w:r>
      <w:r w:rsidRPr="00F2521D">
        <w:rPr>
          <w:rFonts w:ascii="Times New Roman" w:eastAsia="宋体" w:hAnsi="Times New Roman" w:cs="Arial"/>
          <w:lang w:val="zh-CN" w:eastAsia="zh-CN"/>
        </w:rPr>
        <w:t>TCFD</w:t>
      </w:r>
      <w:r w:rsidRPr="00F2521D">
        <w:rPr>
          <w:rFonts w:ascii="Times New Roman" w:eastAsia="宋体" w:hAnsi="Times New Roman" w:cs="Arial" w:hint="eastAsia"/>
          <w:lang w:val="zh-CN" w:eastAsia="zh-CN"/>
        </w:rPr>
        <w:t>建议，</w:t>
      </w:r>
      <w:r>
        <w:rPr>
          <w:rFonts w:ascii="Times New Roman" w:eastAsia="宋体" w:hAnsi="Times New Roman" w:cs="Arial" w:hint="eastAsia"/>
          <w:lang w:val="zh-CN" w:eastAsia="zh-CN"/>
        </w:rPr>
        <w:t>为</w:t>
      </w:r>
      <w:r w:rsidRPr="00F2521D">
        <w:rPr>
          <w:rFonts w:ascii="Times New Roman" w:eastAsia="宋体" w:hAnsi="Times New Roman" w:cs="Arial" w:hint="eastAsia"/>
          <w:lang w:val="zh-CN" w:eastAsia="zh-CN"/>
        </w:rPr>
        <w:t>投资者</w:t>
      </w:r>
      <w:r>
        <w:rPr>
          <w:rFonts w:ascii="Times New Roman" w:eastAsia="宋体" w:hAnsi="Times New Roman" w:cs="Arial" w:hint="eastAsia"/>
          <w:lang w:val="zh-CN" w:eastAsia="zh-CN"/>
        </w:rPr>
        <w:t>提供</w:t>
      </w:r>
      <w:r w:rsidRPr="00F2521D">
        <w:rPr>
          <w:rFonts w:ascii="Times New Roman" w:eastAsia="宋体" w:hAnsi="Times New Roman" w:cs="Arial" w:hint="eastAsia"/>
          <w:lang w:val="zh-CN" w:eastAsia="zh-CN"/>
        </w:rPr>
        <w:t>更加详细</w:t>
      </w:r>
      <w:r>
        <w:rPr>
          <w:rFonts w:ascii="Times New Roman" w:eastAsia="宋体" w:hAnsi="Times New Roman" w:cs="Arial" w:hint="eastAsia"/>
          <w:lang w:val="zh-CN" w:eastAsia="zh-CN"/>
        </w:rPr>
        <w:t>的环境信息及</w:t>
      </w:r>
      <w:r w:rsidRPr="00F2521D">
        <w:rPr>
          <w:rFonts w:ascii="Times New Roman" w:eastAsia="宋体" w:hAnsi="Times New Roman" w:cs="Arial" w:hint="eastAsia"/>
          <w:lang w:val="zh-CN" w:eastAsia="zh-CN"/>
        </w:rPr>
        <w:t>气候</w:t>
      </w:r>
      <w:r>
        <w:rPr>
          <w:rFonts w:ascii="Times New Roman" w:eastAsia="宋体" w:hAnsi="Times New Roman" w:cs="Arial" w:hint="eastAsia"/>
          <w:lang w:val="zh-CN" w:eastAsia="zh-CN"/>
        </w:rPr>
        <w:t>变化对其业务产生的</w:t>
      </w:r>
      <w:r w:rsidRPr="00F2521D">
        <w:rPr>
          <w:rFonts w:ascii="Times New Roman" w:eastAsia="宋体" w:hAnsi="Times New Roman" w:cs="Arial" w:hint="eastAsia"/>
          <w:lang w:val="zh-CN" w:eastAsia="zh-CN"/>
        </w:rPr>
        <w:t>影响</w:t>
      </w:r>
      <w:r>
        <w:rPr>
          <w:rFonts w:ascii="Times New Roman" w:eastAsia="宋体" w:hAnsi="Times New Roman" w:cs="Arial" w:hint="eastAsia"/>
          <w:lang w:val="zh-CN" w:eastAsia="zh-CN"/>
        </w:rPr>
        <w:t>等信息。</w:t>
      </w:r>
    </w:p>
    <w:p w14:paraId="45AA754E" w14:textId="77777777" w:rsidR="005158DC" w:rsidRPr="00F2521D" w:rsidRDefault="005158DC" w:rsidP="005158DC">
      <w:pPr>
        <w:rPr>
          <w:rFonts w:ascii="Times New Roman" w:eastAsia="宋体" w:hAnsi="Times New Roman" w:cs="Arial"/>
          <w:b/>
          <w:lang w:val="zh-CN" w:eastAsia="zh-CN"/>
        </w:rPr>
      </w:pPr>
    </w:p>
    <w:p w14:paraId="37631D02" w14:textId="77777777" w:rsidR="005158DC" w:rsidRPr="00F35A2E" w:rsidRDefault="005158DC" w:rsidP="005158DC">
      <w:pPr>
        <w:rPr>
          <w:rFonts w:ascii="Times New Roman" w:hAnsi="Times New Roman"/>
          <w:b/>
          <w:lang w:val="zh-CN" w:eastAsia="zh-CN"/>
        </w:rPr>
      </w:pPr>
      <w:r w:rsidRPr="00F35A2E">
        <w:rPr>
          <w:rFonts w:ascii="Times New Roman" w:hAnsi="Arial" w:hint="eastAsia"/>
          <w:b/>
          <w:lang w:val="zh-CN" w:eastAsia="zh-CN"/>
        </w:rPr>
        <w:t>绿色信贷和证券化</w:t>
      </w:r>
    </w:p>
    <w:p w14:paraId="705CB03D" w14:textId="77777777" w:rsidR="005158DC" w:rsidRDefault="005158DC" w:rsidP="005158DC">
      <w:pPr>
        <w:widowControl w:val="0"/>
        <w:spacing w:after="0" w:line="240" w:lineRule="auto"/>
        <w:ind w:left="360"/>
        <w:rPr>
          <w:rFonts w:ascii="Times New Roman" w:eastAsia="宋体" w:hAnsi="Arial" w:cs="Arial"/>
          <w:lang w:val="zh-CN" w:eastAsia="zh-CN"/>
        </w:rPr>
      </w:pPr>
      <w:r>
        <w:rPr>
          <w:rFonts w:ascii="Times New Roman" w:eastAsia="宋体" w:hAnsi="Arial" w:cs="Arial" w:hint="eastAsia"/>
          <w:lang w:val="zh-CN" w:eastAsia="zh-CN"/>
        </w:rPr>
        <w:t>设立一个中英</w:t>
      </w:r>
      <w:r w:rsidRPr="00FE72AA">
        <w:rPr>
          <w:rFonts w:ascii="Times New Roman" w:eastAsia="宋体" w:hAnsi="Arial" w:cs="Arial" w:hint="eastAsia"/>
          <w:lang w:val="zh-CN" w:eastAsia="zh-CN"/>
        </w:rPr>
        <w:t>绿色</w:t>
      </w:r>
      <w:r>
        <w:rPr>
          <w:rFonts w:ascii="Times New Roman" w:eastAsia="宋体" w:hAnsi="Arial" w:cs="Arial" w:hint="eastAsia"/>
          <w:lang w:val="zh-CN" w:eastAsia="zh-CN"/>
        </w:rPr>
        <w:t>信贷倡议小组</w:t>
      </w:r>
      <w:r w:rsidRPr="00FE72AA">
        <w:rPr>
          <w:rFonts w:ascii="Times New Roman" w:eastAsia="宋体" w:hAnsi="Arial" w:cs="Arial" w:hint="eastAsia"/>
          <w:lang w:val="zh-CN" w:eastAsia="zh-CN"/>
        </w:rPr>
        <w:t>，通过改善绿色</w:t>
      </w:r>
      <w:r>
        <w:rPr>
          <w:rFonts w:ascii="Times New Roman" w:eastAsia="宋体" w:hAnsi="Arial" w:cs="Arial" w:hint="eastAsia"/>
          <w:lang w:val="zh-CN" w:eastAsia="zh-CN"/>
        </w:rPr>
        <w:t>信贷定义，明确绿色证券化合格资产，研发绿色信贷增信工具和绿色证券化标准文本等工作，来推进</w:t>
      </w:r>
      <w:r w:rsidRPr="00FE72AA">
        <w:rPr>
          <w:rFonts w:ascii="Times New Roman" w:eastAsia="宋体" w:hAnsi="Arial" w:cs="Arial" w:hint="eastAsia"/>
          <w:lang w:val="zh-CN" w:eastAsia="zh-CN"/>
        </w:rPr>
        <w:t>绿色</w:t>
      </w:r>
      <w:r>
        <w:rPr>
          <w:rFonts w:ascii="Times New Roman" w:eastAsia="宋体" w:hAnsi="Arial" w:cs="Arial" w:hint="eastAsia"/>
          <w:lang w:val="zh-CN" w:eastAsia="zh-CN"/>
        </w:rPr>
        <w:t>信贷</w:t>
      </w:r>
      <w:r w:rsidRPr="00FE72AA">
        <w:rPr>
          <w:rFonts w:ascii="Times New Roman" w:eastAsia="宋体" w:hAnsi="Arial" w:cs="Arial" w:hint="eastAsia"/>
          <w:lang w:val="zh-CN" w:eastAsia="zh-CN"/>
        </w:rPr>
        <w:t>证券化和绿色</w:t>
      </w:r>
      <w:r>
        <w:rPr>
          <w:rFonts w:ascii="Times New Roman" w:eastAsia="宋体" w:hAnsi="Arial" w:cs="Arial" w:hint="eastAsia"/>
          <w:lang w:val="zh-CN" w:eastAsia="zh-CN"/>
        </w:rPr>
        <w:t>担保债券的发展</w:t>
      </w:r>
      <w:r w:rsidRPr="00FE72AA">
        <w:rPr>
          <w:rFonts w:ascii="Times New Roman" w:eastAsia="宋体" w:hAnsi="Arial" w:cs="Arial" w:hint="eastAsia"/>
          <w:lang w:val="zh-CN" w:eastAsia="zh-CN"/>
        </w:rPr>
        <w:t>。</w:t>
      </w:r>
    </w:p>
    <w:p w14:paraId="2EE1FE2F" w14:textId="77777777" w:rsidR="005158DC" w:rsidRPr="00A30C73" w:rsidRDefault="005158DC" w:rsidP="005158DC">
      <w:pPr>
        <w:widowControl w:val="0"/>
        <w:spacing w:after="0" w:line="240" w:lineRule="auto"/>
        <w:ind w:left="360"/>
        <w:rPr>
          <w:rFonts w:ascii="Times New Roman" w:eastAsia="宋体" w:hAnsi="Times New Roman" w:cs="Arial"/>
          <w:lang w:val="zh-CN" w:eastAsia="zh-CN"/>
        </w:rPr>
      </w:pPr>
    </w:p>
    <w:p w14:paraId="2EE12BD0" w14:textId="77777777" w:rsidR="005158DC" w:rsidRPr="00F35A2E" w:rsidRDefault="005158DC" w:rsidP="005158DC">
      <w:pPr>
        <w:rPr>
          <w:rFonts w:ascii="Times New Roman" w:hAnsi="Times New Roman"/>
          <w:b/>
          <w:lang w:val="zh-CN"/>
        </w:rPr>
      </w:pPr>
      <w:r w:rsidRPr="00F35A2E">
        <w:rPr>
          <w:rFonts w:ascii="Times New Roman" w:hAnsi="Times New Roman"/>
          <w:b/>
          <w:lang w:val="zh-CN"/>
        </w:rPr>
        <w:t>ESG</w:t>
      </w:r>
    </w:p>
    <w:p w14:paraId="0F5AA322" w14:textId="77777777" w:rsidR="005158DC" w:rsidRPr="00C23266" w:rsidRDefault="005158DC" w:rsidP="005158DC">
      <w:pPr>
        <w:widowControl w:val="0"/>
        <w:numPr>
          <w:ilvl w:val="0"/>
          <w:numId w:val="4"/>
        </w:numPr>
        <w:spacing w:after="0" w:line="240" w:lineRule="auto"/>
        <w:rPr>
          <w:rFonts w:ascii="Times New Roman" w:eastAsia="宋体" w:hAnsi="Times New Roman" w:cs="Arial"/>
          <w:lang w:val="zh-CN" w:eastAsia="zh-CN"/>
        </w:rPr>
      </w:pPr>
      <w:r w:rsidRPr="00FE72AA">
        <w:rPr>
          <w:rFonts w:ascii="Times New Roman" w:eastAsia="宋体" w:hAnsi="Arial" w:cs="Arial" w:hint="eastAsia"/>
          <w:lang w:val="zh-CN" w:eastAsia="zh-CN"/>
        </w:rPr>
        <w:t>由评级机构和投资者</w:t>
      </w:r>
      <w:r>
        <w:rPr>
          <w:rFonts w:ascii="Times New Roman" w:eastAsia="宋体" w:hAnsi="Arial" w:cs="Arial" w:hint="eastAsia"/>
          <w:lang w:val="zh-CN" w:eastAsia="zh-CN"/>
        </w:rPr>
        <w:t>联合发起，推动</w:t>
      </w:r>
      <w:r w:rsidRPr="00FE72AA">
        <w:rPr>
          <w:rFonts w:ascii="Times New Roman" w:eastAsia="宋体" w:hAnsi="Arial" w:cs="Arial" w:hint="eastAsia"/>
          <w:lang w:val="zh-CN" w:eastAsia="zh-CN"/>
        </w:rPr>
        <w:t>ESG</w:t>
      </w:r>
      <w:r>
        <w:rPr>
          <w:rFonts w:ascii="Times New Roman" w:eastAsia="宋体" w:hAnsi="Arial" w:cs="Arial" w:hint="eastAsia"/>
          <w:lang w:val="zh-CN" w:eastAsia="zh-CN"/>
        </w:rPr>
        <w:t>评估和评级方法的一致化</w:t>
      </w:r>
      <w:r w:rsidRPr="00FE72AA">
        <w:rPr>
          <w:rFonts w:ascii="Times New Roman" w:eastAsia="宋体" w:hAnsi="Arial" w:cs="Arial" w:hint="eastAsia"/>
          <w:lang w:val="zh-CN" w:eastAsia="zh-CN"/>
        </w:rPr>
        <w:t>，</w:t>
      </w:r>
      <w:r>
        <w:rPr>
          <w:rFonts w:ascii="Times New Roman" w:eastAsia="宋体" w:hAnsi="Arial" w:cs="Arial" w:hint="eastAsia"/>
          <w:lang w:val="zh-CN" w:eastAsia="zh-CN"/>
        </w:rPr>
        <w:t>并在</w:t>
      </w:r>
      <w:r w:rsidRPr="00FE72AA">
        <w:rPr>
          <w:rFonts w:ascii="Times New Roman" w:eastAsia="宋体" w:hAnsi="Arial" w:cs="Arial" w:hint="eastAsia"/>
          <w:lang w:val="zh-CN" w:eastAsia="zh-CN"/>
        </w:rPr>
        <w:t>中英</w:t>
      </w:r>
      <w:r>
        <w:rPr>
          <w:rFonts w:ascii="Times New Roman" w:eastAsia="宋体" w:hAnsi="Arial" w:cs="Arial" w:hint="eastAsia"/>
          <w:lang w:val="zh-CN" w:eastAsia="zh-CN"/>
        </w:rPr>
        <w:t>两</w:t>
      </w:r>
      <w:r w:rsidRPr="00FE72AA">
        <w:rPr>
          <w:rFonts w:ascii="Times New Roman" w:eastAsia="宋体" w:hAnsi="Arial" w:cs="Arial" w:hint="eastAsia"/>
          <w:lang w:val="zh-CN" w:eastAsia="zh-CN"/>
        </w:rPr>
        <w:t>国</w:t>
      </w:r>
      <w:r>
        <w:rPr>
          <w:rFonts w:ascii="Times New Roman" w:eastAsia="宋体" w:hAnsi="Arial" w:cs="Arial" w:hint="eastAsia"/>
          <w:lang w:val="zh-CN" w:eastAsia="zh-CN"/>
        </w:rPr>
        <w:t>先行落实</w:t>
      </w:r>
      <w:r w:rsidRPr="00FE72AA">
        <w:rPr>
          <w:rFonts w:ascii="Times New Roman" w:eastAsia="宋体" w:hAnsi="Arial" w:cs="Arial" w:hint="eastAsia"/>
          <w:lang w:val="zh-CN" w:eastAsia="zh-CN"/>
        </w:rPr>
        <w:t>。</w:t>
      </w:r>
      <w:r w:rsidRPr="00F2521D">
        <w:rPr>
          <w:rFonts w:ascii="Times New Roman" w:eastAsia="宋体" w:hAnsi="Arial" w:cs="Arial" w:hint="eastAsia"/>
          <w:lang w:val="zh-CN" w:eastAsia="zh-CN"/>
        </w:rPr>
        <w:t>在</w:t>
      </w:r>
      <w:r w:rsidRPr="00A30C73">
        <w:rPr>
          <w:rFonts w:ascii="Times New Roman" w:eastAsia="宋体" w:hAnsi="Arial" w:cs="Arial" w:hint="eastAsia"/>
          <w:lang w:val="zh-CN" w:eastAsia="zh-CN"/>
        </w:rPr>
        <w:t>TCFD</w:t>
      </w:r>
      <w:r>
        <w:rPr>
          <w:rFonts w:ascii="Times New Roman" w:eastAsia="宋体" w:hAnsi="Arial" w:cs="Arial" w:hint="eastAsia"/>
          <w:lang w:val="zh-CN" w:eastAsia="zh-CN"/>
        </w:rPr>
        <w:t>倡议</w:t>
      </w:r>
      <w:r w:rsidRPr="00A30C73">
        <w:rPr>
          <w:rFonts w:ascii="Times New Roman" w:eastAsia="宋体" w:hAnsi="Arial" w:cs="Arial" w:hint="eastAsia"/>
          <w:lang w:val="zh-CN" w:eastAsia="zh-CN"/>
        </w:rPr>
        <w:t>的基础上，</w:t>
      </w:r>
      <w:r>
        <w:rPr>
          <w:rFonts w:ascii="Times New Roman" w:eastAsia="宋体" w:hAnsi="Arial" w:cs="Arial" w:hint="eastAsia"/>
          <w:lang w:val="zh-CN" w:eastAsia="zh-CN"/>
        </w:rPr>
        <w:t>识别和明确主要</w:t>
      </w:r>
      <w:r w:rsidRPr="00F2521D">
        <w:rPr>
          <w:rFonts w:ascii="Times New Roman" w:eastAsia="宋体" w:hAnsi="Arial" w:cs="Arial"/>
          <w:lang w:val="zh-CN" w:eastAsia="zh-CN"/>
        </w:rPr>
        <w:t>ESG</w:t>
      </w:r>
      <w:r>
        <w:rPr>
          <w:rFonts w:ascii="Times New Roman" w:eastAsia="宋体" w:hAnsi="Arial" w:cs="Arial" w:hint="eastAsia"/>
          <w:lang w:val="zh-CN" w:eastAsia="zh-CN"/>
        </w:rPr>
        <w:t>因素，</w:t>
      </w:r>
      <w:r w:rsidRPr="00EA49A2">
        <w:rPr>
          <w:rFonts w:ascii="Times New Roman" w:eastAsia="宋体" w:hAnsi="Arial" w:cs="Arial" w:hint="eastAsia"/>
          <w:lang w:val="zh-CN" w:eastAsia="zh-CN"/>
        </w:rPr>
        <w:t>以及特</w:t>
      </w:r>
      <w:r w:rsidRPr="00F2521D">
        <w:rPr>
          <w:rFonts w:ascii="Times New Roman" w:eastAsia="宋体" w:hAnsi="Arial" w:cs="Arial" w:hint="eastAsia"/>
          <w:lang w:val="zh-CN" w:eastAsia="zh-CN"/>
        </w:rPr>
        <w:t>定行业</w:t>
      </w:r>
      <w:r>
        <w:rPr>
          <w:rFonts w:ascii="Times New Roman" w:eastAsia="宋体" w:hAnsi="Arial" w:cs="Arial" w:hint="eastAsia"/>
          <w:lang w:val="zh-CN" w:eastAsia="zh-CN"/>
        </w:rPr>
        <w:t>中的</w:t>
      </w:r>
      <w:r w:rsidRPr="00F2521D">
        <w:rPr>
          <w:rFonts w:ascii="Times New Roman" w:eastAsia="宋体" w:hAnsi="Arial" w:cs="Arial" w:hint="eastAsia"/>
          <w:lang w:val="zh-CN" w:eastAsia="zh-CN"/>
        </w:rPr>
        <w:t>关键</w:t>
      </w:r>
      <w:r w:rsidRPr="00F2521D">
        <w:rPr>
          <w:rFonts w:ascii="Times New Roman" w:eastAsia="宋体" w:hAnsi="Arial" w:cs="Arial"/>
          <w:lang w:val="zh-CN" w:eastAsia="zh-CN"/>
        </w:rPr>
        <w:t>ESG</w:t>
      </w:r>
      <w:r w:rsidRPr="00F2521D">
        <w:rPr>
          <w:rFonts w:ascii="Times New Roman" w:eastAsia="宋体" w:hAnsi="Arial" w:cs="Arial" w:hint="eastAsia"/>
          <w:lang w:val="zh-CN" w:eastAsia="zh-CN"/>
        </w:rPr>
        <w:t>因素。</w:t>
      </w:r>
    </w:p>
    <w:p w14:paraId="2330F74A" w14:textId="77777777" w:rsidR="005158DC" w:rsidRPr="00EA49A2" w:rsidRDefault="005158DC" w:rsidP="005158DC">
      <w:pPr>
        <w:widowControl w:val="0"/>
        <w:spacing w:after="0" w:line="240" w:lineRule="auto"/>
        <w:rPr>
          <w:rFonts w:ascii="Times New Roman" w:eastAsia="宋体" w:hAnsi="Times New Roman" w:cs="Arial"/>
          <w:lang w:val="zh-CN" w:eastAsia="zh-CN"/>
        </w:rPr>
      </w:pPr>
    </w:p>
    <w:p w14:paraId="288BA49B" w14:textId="77777777" w:rsidR="005158DC" w:rsidRPr="00F35A2E" w:rsidRDefault="005158DC" w:rsidP="005158DC">
      <w:pPr>
        <w:rPr>
          <w:rFonts w:ascii="Times New Roman" w:hAnsi="Times New Roman"/>
          <w:b/>
          <w:lang w:val="zh-CN"/>
        </w:rPr>
      </w:pPr>
      <w:r w:rsidRPr="00F35A2E">
        <w:rPr>
          <w:rFonts w:ascii="Times New Roman" w:hAnsi="Times New Roman" w:hint="eastAsia"/>
          <w:b/>
          <w:lang w:val="zh-CN"/>
        </w:rPr>
        <w:t xml:space="preserve"> </w:t>
      </w:r>
      <w:r w:rsidRPr="00F35A2E">
        <w:rPr>
          <w:rFonts w:ascii="Times New Roman" w:hAnsi="Times New Roman" w:hint="eastAsia"/>
          <w:b/>
          <w:lang w:val="zh-CN"/>
        </w:rPr>
        <w:t>“</w:t>
      </w:r>
      <w:proofErr w:type="spellStart"/>
      <w:r w:rsidRPr="00F35A2E">
        <w:rPr>
          <w:rFonts w:ascii="Times New Roman" w:hAnsi="Arial" w:hint="eastAsia"/>
          <w:b/>
          <w:lang w:val="zh-CN"/>
        </w:rPr>
        <w:t>一带一路</w:t>
      </w:r>
      <w:proofErr w:type="spellEnd"/>
      <w:r w:rsidRPr="00F35A2E">
        <w:rPr>
          <w:rFonts w:ascii="Times New Roman" w:hAnsi="Times New Roman" w:hint="eastAsia"/>
          <w:b/>
          <w:lang w:val="zh-CN"/>
        </w:rPr>
        <w:t>”</w:t>
      </w:r>
      <w:r w:rsidRPr="00F35A2E">
        <w:rPr>
          <w:rFonts w:ascii="Times New Roman" w:hAnsi="Times New Roman" w:hint="eastAsia"/>
          <w:b/>
          <w:lang w:val="zh-CN" w:eastAsia="zh-CN"/>
        </w:rPr>
        <w:t>绿色化</w:t>
      </w:r>
    </w:p>
    <w:p w14:paraId="1036962B" w14:textId="77777777" w:rsidR="005158DC" w:rsidRDefault="005158DC" w:rsidP="005158DC">
      <w:pPr>
        <w:widowControl w:val="0"/>
        <w:numPr>
          <w:ilvl w:val="0"/>
          <w:numId w:val="5"/>
        </w:numPr>
        <w:spacing w:after="0" w:line="240" w:lineRule="auto"/>
        <w:rPr>
          <w:rFonts w:ascii="Times New Roman" w:eastAsia="宋体" w:hAnsi="Times New Roman" w:cs="Arial"/>
          <w:lang w:val="zh-CN" w:eastAsia="zh-CN"/>
        </w:rPr>
      </w:pPr>
      <w:r>
        <w:rPr>
          <w:rFonts w:ascii="Times New Roman" w:eastAsia="宋体" w:hAnsi="Arial" w:cs="Arial" w:hint="eastAsia"/>
          <w:lang w:val="zh-CN" w:eastAsia="zh-CN"/>
        </w:rPr>
        <w:t>伦敦金融城正在组建“一带一路</w:t>
      </w:r>
      <w:r>
        <w:rPr>
          <w:rFonts w:ascii="Times New Roman" w:eastAsia="宋体" w:hAnsi="Times New Roman" w:cs="Arial" w:hint="eastAsia"/>
          <w:lang w:val="zh-CN" w:eastAsia="zh-CN"/>
        </w:rPr>
        <w:t>”（</w:t>
      </w:r>
      <w:r>
        <w:rPr>
          <w:rFonts w:ascii="Times New Roman" w:eastAsia="宋体" w:hAnsi="Times New Roman" w:cs="Arial" w:hint="eastAsia"/>
          <w:lang w:val="zh-CN" w:eastAsia="zh-CN"/>
        </w:rPr>
        <w:t>BRI</w:t>
      </w:r>
      <w:r>
        <w:rPr>
          <w:rFonts w:ascii="Times New Roman" w:eastAsia="宋体" w:hAnsi="Times New Roman" w:cs="Arial" w:hint="eastAsia"/>
          <w:lang w:val="zh-CN" w:eastAsia="zh-CN"/>
        </w:rPr>
        <w:t>）</w:t>
      </w:r>
      <w:r w:rsidRPr="00F2521D">
        <w:rPr>
          <w:rFonts w:ascii="Times New Roman" w:eastAsia="宋体" w:hAnsi="Arial" w:cs="Arial" w:hint="eastAsia"/>
          <w:lang w:val="zh-CN" w:eastAsia="zh-CN"/>
        </w:rPr>
        <w:t>投资者联盟（</w:t>
      </w:r>
      <w:r>
        <w:rPr>
          <w:rFonts w:ascii="Times New Roman" w:eastAsia="宋体" w:hAnsi="Arial" w:cs="Arial" w:hint="eastAsia"/>
          <w:lang w:val="zh-CN" w:eastAsia="zh-CN"/>
        </w:rPr>
        <w:t>包括</w:t>
      </w:r>
      <w:r w:rsidRPr="00F2521D">
        <w:rPr>
          <w:rFonts w:ascii="Times New Roman" w:eastAsia="宋体" w:hAnsi="Arial" w:cs="Arial" w:hint="eastAsia"/>
          <w:lang w:val="zh-CN" w:eastAsia="zh-CN"/>
        </w:rPr>
        <w:t>多数多边开发银行），</w:t>
      </w:r>
      <w:r>
        <w:rPr>
          <w:rFonts w:ascii="Times New Roman" w:eastAsia="宋体" w:hAnsi="Arial" w:cs="Arial" w:hint="eastAsia"/>
          <w:lang w:val="zh-CN" w:eastAsia="zh-CN"/>
        </w:rPr>
        <w:t>以期建立</w:t>
      </w:r>
      <w:r w:rsidRPr="00F2521D">
        <w:rPr>
          <w:rFonts w:ascii="Times New Roman" w:eastAsia="宋体" w:hAnsi="Arial" w:cs="Arial" w:hint="eastAsia"/>
          <w:lang w:val="zh-CN" w:eastAsia="zh-CN"/>
        </w:rPr>
        <w:t>一套</w:t>
      </w:r>
      <w:r>
        <w:rPr>
          <w:rFonts w:ascii="Times New Roman" w:eastAsia="宋体" w:hAnsi="Arial" w:cs="Arial" w:hint="eastAsia"/>
          <w:lang w:val="zh-CN" w:eastAsia="zh-CN"/>
        </w:rPr>
        <w:t>统一的</w:t>
      </w:r>
      <w:r w:rsidRPr="00F2521D">
        <w:rPr>
          <w:rFonts w:ascii="Times New Roman" w:eastAsia="宋体" w:hAnsi="Arial" w:cs="Arial" w:hint="eastAsia"/>
          <w:lang w:val="zh-CN" w:eastAsia="zh-CN"/>
        </w:rPr>
        <w:t>标准，用于</w:t>
      </w:r>
      <w:r>
        <w:rPr>
          <w:rFonts w:ascii="Times New Roman" w:eastAsia="宋体" w:hAnsi="Arial" w:cs="Arial" w:hint="eastAsia"/>
          <w:lang w:val="zh-CN" w:eastAsia="zh-CN"/>
        </w:rPr>
        <w:t>“一带一路”</w:t>
      </w:r>
      <w:r w:rsidRPr="00F2521D">
        <w:rPr>
          <w:rFonts w:ascii="Times New Roman" w:eastAsia="宋体" w:hAnsi="Arial" w:cs="Arial" w:hint="eastAsia"/>
          <w:lang w:val="zh-CN" w:eastAsia="zh-CN"/>
        </w:rPr>
        <w:t>国家</w:t>
      </w:r>
      <w:r>
        <w:rPr>
          <w:rFonts w:ascii="Times New Roman" w:eastAsia="宋体" w:hAnsi="Arial" w:cs="Arial" w:hint="eastAsia"/>
          <w:lang w:val="zh-CN" w:eastAsia="zh-CN"/>
        </w:rPr>
        <w:t>和地区的</w:t>
      </w:r>
      <w:r w:rsidRPr="00F2521D">
        <w:rPr>
          <w:rFonts w:ascii="Times New Roman" w:eastAsia="宋体" w:hAnsi="Arial" w:cs="Arial" w:hint="eastAsia"/>
          <w:lang w:val="zh-CN" w:eastAsia="zh-CN"/>
        </w:rPr>
        <w:t>绿色</w:t>
      </w:r>
      <w:r>
        <w:rPr>
          <w:rFonts w:ascii="Times New Roman" w:eastAsia="宋体" w:hAnsi="Arial" w:cs="Arial" w:hint="eastAsia"/>
          <w:lang w:val="zh-CN" w:eastAsia="zh-CN"/>
        </w:rPr>
        <w:t>投</w:t>
      </w:r>
      <w:r w:rsidRPr="00F2521D">
        <w:rPr>
          <w:rFonts w:ascii="Times New Roman" w:eastAsia="宋体" w:hAnsi="Arial" w:cs="Arial" w:hint="eastAsia"/>
          <w:lang w:val="zh-CN" w:eastAsia="zh-CN"/>
        </w:rPr>
        <w:t>融资。</w:t>
      </w:r>
      <w:r w:rsidRPr="00F2521D">
        <w:rPr>
          <w:rFonts w:ascii="Times New Roman" w:eastAsia="宋体" w:hAnsi="Times New Roman" w:cs="Arial"/>
          <w:lang w:val="zh-CN" w:eastAsia="zh-CN"/>
        </w:rPr>
        <w:t xml:space="preserve"> </w:t>
      </w:r>
    </w:p>
    <w:p w14:paraId="192BAA84" w14:textId="77777777" w:rsidR="005158DC" w:rsidRDefault="005158DC" w:rsidP="005158DC">
      <w:pPr>
        <w:widowControl w:val="0"/>
        <w:numPr>
          <w:ilvl w:val="0"/>
          <w:numId w:val="5"/>
        </w:numPr>
        <w:spacing w:after="0" w:line="240" w:lineRule="auto"/>
        <w:rPr>
          <w:rFonts w:ascii="Times New Roman" w:eastAsia="宋体" w:hAnsi="Times New Roman" w:cs="Arial"/>
          <w:lang w:val="zh-CN" w:eastAsia="zh-CN"/>
        </w:rPr>
      </w:pPr>
      <w:r w:rsidRPr="004F7646">
        <w:rPr>
          <w:rFonts w:ascii="Times New Roman" w:eastAsia="宋体" w:hAnsi="Times New Roman" w:cs="Arial" w:hint="eastAsia"/>
          <w:lang w:val="zh-CN" w:eastAsia="zh-CN"/>
        </w:rPr>
        <w:t>BRI</w:t>
      </w:r>
      <w:r w:rsidRPr="004F7646">
        <w:rPr>
          <w:rFonts w:ascii="Times New Roman" w:eastAsia="宋体" w:hAnsi="Times New Roman" w:cs="Arial" w:hint="eastAsia"/>
          <w:lang w:val="zh-CN" w:eastAsia="zh-CN"/>
        </w:rPr>
        <w:t>投资者联盟应探讨与</w:t>
      </w:r>
      <w:r>
        <w:rPr>
          <w:rFonts w:ascii="Times New Roman" w:eastAsia="宋体" w:hAnsi="Times New Roman" w:cs="Arial" w:hint="eastAsia"/>
          <w:lang w:val="zh-CN" w:eastAsia="zh-CN"/>
        </w:rPr>
        <w:t>中国绿金委等</w:t>
      </w:r>
      <w:r w:rsidRPr="004F7646">
        <w:rPr>
          <w:rFonts w:ascii="Times New Roman" w:eastAsia="宋体" w:hAnsi="Times New Roman" w:cs="Arial" w:hint="eastAsia"/>
          <w:lang w:val="zh-CN" w:eastAsia="zh-CN"/>
        </w:rPr>
        <w:t>中国</w:t>
      </w:r>
      <w:r>
        <w:rPr>
          <w:rFonts w:ascii="Times New Roman" w:eastAsia="宋体" w:hAnsi="Times New Roman" w:cs="Arial" w:hint="eastAsia"/>
          <w:lang w:val="zh-CN" w:eastAsia="zh-CN"/>
        </w:rPr>
        <w:t>行业</w:t>
      </w:r>
      <w:r w:rsidRPr="004F7646">
        <w:rPr>
          <w:rFonts w:ascii="Times New Roman" w:eastAsia="宋体" w:hAnsi="Times New Roman" w:cs="Arial" w:hint="eastAsia"/>
          <w:lang w:val="zh-CN" w:eastAsia="zh-CN"/>
        </w:rPr>
        <w:t>协会</w:t>
      </w:r>
      <w:r>
        <w:rPr>
          <w:rFonts w:ascii="Times New Roman" w:eastAsia="宋体" w:hAnsi="Times New Roman" w:cs="Arial" w:hint="eastAsia"/>
          <w:lang w:val="zh-CN" w:eastAsia="zh-CN"/>
        </w:rPr>
        <w:t>合作的可能性。这几个中国行业协会正在起草</w:t>
      </w:r>
      <w:r w:rsidRPr="004F7646">
        <w:rPr>
          <w:rFonts w:ascii="Times New Roman" w:eastAsia="宋体" w:hAnsi="Times New Roman" w:cs="Arial" w:hint="eastAsia"/>
          <w:lang w:val="zh-CN" w:eastAsia="zh-CN"/>
        </w:rPr>
        <w:t>中国</w:t>
      </w:r>
      <w:r>
        <w:rPr>
          <w:rFonts w:ascii="Times New Roman" w:eastAsia="宋体" w:hAnsi="Times New Roman" w:cs="Arial" w:hint="eastAsia"/>
          <w:lang w:val="zh-CN" w:eastAsia="zh-CN"/>
        </w:rPr>
        <w:t>对外</w:t>
      </w:r>
      <w:r w:rsidRPr="004F7646">
        <w:rPr>
          <w:rFonts w:ascii="Times New Roman" w:eastAsia="宋体" w:hAnsi="Times New Roman" w:cs="Arial" w:hint="eastAsia"/>
          <w:lang w:val="zh-CN" w:eastAsia="zh-CN"/>
        </w:rPr>
        <w:t>投资环境风险</w:t>
      </w:r>
      <w:r>
        <w:rPr>
          <w:rFonts w:ascii="Times New Roman" w:eastAsia="宋体" w:hAnsi="Times New Roman" w:cs="Arial" w:hint="eastAsia"/>
          <w:lang w:val="zh-CN" w:eastAsia="zh-CN"/>
        </w:rPr>
        <w:t>管理倡议。</w:t>
      </w:r>
      <w:r>
        <w:rPr>
          <w:rFonts w:ascii="Times New Roman" w:eastAsia="宋体" w:hAnsi="Times New Roman" w:cs="Arial" w:hint="eastAsia"/>
          <w:lang w:val="zh-CN" w:eastAsia="zh-CN"/>
        </w:rPr>
        <w:t>BRI</w:t>
      </w:r>
      <w:r>
        <w:rPr>
          <w:rFonts w:ascii="Times New Roman" w:eastAsia="宋体" w:hAnsi="Times New Roman" w:cs="Arial" w:hint="eastAsia"/>
          <w:lang w:val="zh-CN" w:eastAsia="zh-CN"/>
        </w:rPr>
        <w:t>与中国行业协会可考虑</w:t>
      </w:r>
      <w:r w:rsidRPr="004F7646">
        <w:rPr>
          <w:rFonts w:ascii="Times New Roman" w:eastAsia="宋体" w:hAnsi="Times New Roman" w:cs="Arial" w:hint="eastAsia"/>
          <w:lang w:val="zh-CN" w:eastAsia="zh-CN"/>
        </w:rPr>
        <w:t>将</w:t>
      </w:r>
      <w:r>
        <w:rPr>
          <w:rFonts w:ascii="Times New Roman" w:eastAsia="宋体" w:hAnsi="Times New Roman" w:cs="Arial" w:hint="eastAsia"/>
          <w:lang w:val="zh-CN" w:eastAsia="zh-CN"/>
        </w:rPr>
        <w:t>这些对外投资环境风险管理倡议的覆盖</w:t>
      </w:r>
      <w:r w:rsidRPr="004F7646">
        <w:rPr>
          <w:rFonts w:ascii="Times New Roman" w:eastAsia="宋体" w:hAnsi="Times New Roman" w:cs="Arial" w:hint="eastAsia"/>
          <w:lang w:val="zh-CN" w:eastAsia="zh-CN"/>
        </w:rPr>
        <w:t>范围</w:t>
      </w:r>
      <w:r>
        <w:rPr>
          <w:rFonts w:ascii="Times New Roman" w:eastAsia="宋体" w:hAnsi="Times New Roman" w:cs="Arial" w:hint="eastAsia"/>
          <w:lang w:val="zh-CN" w:eastAsia="zh-CN"/>
        </w:rPr>
        <w:t>扩大到国际</w:t>
      </w:r>
      <w:r w:rsidRPr="004F7646">
        <w:rPr>
          <w:rFonts w:ascii="Times New Roman" w:eastAsia="宋体" w:hAnsi="Times New Roman" w:cs="Arial" w:hint="eastAsia"/>
          <w:lang w:val="zh-CN" w:eastAsia="zh-CN"/>
        </w:rPr>
        <w:t>投资者。</w:t>
      </w:r>
    </w:p>
    <w:p w14:paraId="3B395AF4" w14:textId="77777777" w:rsidR="005158DC" w:rsidRPr="00F2521D" w:rsidRDefault="005158DC" w:rsidP="005158DC">
      <w:pPr>
        <w:widowControl w:val="0"/>
        <w:spacing w:after="0" w:line="240" w:lineRule="auto"/>
        <w:ind w:left="360"/>
        <w:rPr>
          <w:rFonts w:ascii="Times New Roman" w:eastAsia="宋体" w:hAnsi="Times New Roman" w:cs="Arial"/>
          <w:lang w:val="zh-CN" w:eastAsia="zh-CN"/>
        </w:rPr>
      </w:pPr>
    </w:p>
    <w:p w14:paraId="226303AE" w14:textId="02CDF248" w:rsidR="005158DC" w:rsidRPr="00F35A2E" w:rsidRDefault="005158DC" w:rsidP="005158DC">
      <w:pPr>
        <w:rPr>
          <w:rFonts w:ascii="黑体" w:eastAsia="黑体" w:hAnsi="黑体" w:cs="Arial"/>
          <w:b/>
          <w:bCs/>
          <w:lang w:val="zh-CN" w:eastAsia="zh-CN"/>
        </w:rPr>
      </w:pPr>
      <w:r w:rsidRPr="00F35A2E">
        <w:rPr>
          <w:rFonts w:ascii="黑体" w:eastAsia="黑体" w:hAnsi="黑体" w:cs="Arial" w:hint="eastAsia"/>
          <w:b/>
          <w:lang w:val="zh-CN" w:eastAsia="zh-CN"/>
        </w:rPr>
        <w:t>推动跨境</w:t>
      </w:r>
      <w:r w:rsidR="00F35A2E">
        <w:rPr>
          <w:rFonts w:ascii="黑体" w:eastAsia="黑体" w:hAnsi="黑体" w:cs="Arial" w:hint="eastAsia"/>
          <w:b/>
          <w:lang w:val="zh-CN" w:eastAsia="zh-CN"/>
        </w:rPr>
        <w:t>绿色</w:t>
      </w:r>
      <w:r w:rsidRPr="00F35A2E">
        <w:rPr>
          <w:rFonts w:ascii="黑体" w:eastAsia="黑体" w:hAnsi="黑体" w:cs="Arial" w:hint="eastAsia"/>
          <w:b/>
          <w:lang w:val="zh-CN" w:eastAsia="zh-CN"/>
        </w:rPr>
        <w:t>资本流动</w:t>
      </w:r>
    </w:p>
    <w:p w14:paraId="4B90F729" w14:textId="77777777" w:rsidR="005158DC" w:rsidRPr="00873EF9" w:rsidRDefault="005158DC" w:rsidP="005158DC">
      <w:pPr>
        <w:widowControl w:val="0"/>
        <w:numPr>
          <w:ilvl w:val="1"/>
          <w:numId w:val="1"/>
        </w:numPr>
        <w:spacing w:after="0" w:line="240" w:lineRule="auto"/>
        <w:ind w:left="360"/>
        <w:rPr>
          <w:rFonts w:ascii="Times New Roman" w:eastAsia="宋体" w:hAnsi="Times New Roman" w:cs="Arial"/>
          <w:lang w:val="zh-CN" w:eastAsia="zh-CN"/>
        </w:rPr>
      </w:pPr>
      <w:r>
        <w:rPr>
          <w:rFonts w:ascii="Times New Roman" w:eastAsia="宋体" w:hAnsi="Arial" w:cs="Arial" w:hint="eastAsia"/>
          <w:lang w:val="zh-CN" w:eastAsia="zh-CN"/>
        </w:rPr>
        <w:t>在绿色债券方面，推动国内外</w:t>
      </w:r>
      <w:r w:rsidRPr="00F2521D">
        <w:rPr>
          <w:rFonts w:ascii="Times New Roman" w:eastAsia="宋体" w:hAnsi="Arial" w:cs="Arial" w:hint="eastAsia"/>
          <w:lang w:val="zh-CN" w:eastAsia="zh-CN"/>
        </w:rPr>
        <w:t>绿色定义和</w:t>
      </w:r>
      <w:r>
        <w:rPr>
          <w:rFonts w:ascii="Times New Roman" w:eastAsia="宋体" w:hAnsi="Arial" w:cs="Arial" w:hint="eastAsia"/>
          <w:lang w:val="zh-CN" w:eastAsia="zh-CN"/>
        </w:rPr>
        <w:t>认证</w:t>
      </w:r>
      <w:r w:rsidRPr="00F2521D">
        <w:rPr>
          <w:rFonts w:ascii="Times New Roman" w:eastAsia="宋体" w:hAnsi="Arial" w:cs="Arial" w:hint="eastAsia"/>
          <w:lang w:val="zh-CN" w:eastAsia="zh-CN"/>
        </w:rPr>
        <w:t>标准</w:t>
      </w:r>
      <w:r>
        <w:rPr>
          <w:rFonts w:ascii="Times New Roman" w:eastAsia="宋体" w:hAnsi="Arial" w:cs="Arial" w:hint="eastAsia"/>
          <w:lang w:val="zh-CN" w:eastAsia="zh-CN"/>
        </w:rPr>
        <w:t>的一致化</w:t>
      </w:r>
      <w:r w:rsidRPr="00F2521D">
        <w:rPr>
          <w:rFonts w:ascii="Times New Roman" w:eastAsia="宋体" w:hAnsi="Arial" w:cs="Arial" w:hint="eastAsia"/>
          <w:lang w:val="zh-CN" w:eastAsia="zh-CN"/>
        </w:rPr>
        <w:t>，</w:t>
      </w:r>
      <w:r>
        <w:rPr>
          <w:rFonts w:ascii="Times New Roman" w:eastAsia="宋体" w:hAnsi="Arial" w:cs="Arial" w:hint="eastAsia"/>
          <w:lang w:val="zh-CN" w:eastAsia="zh-CN"/>
        </w:rPr>
        <w:t>以减少外国投资者投资于中国绿色债券的搜寻成本。</w:t>
      </w:r>
    </w:p>
    <w:p w14:paraId="1366CEA4" w14:textId="77777777" w:rsidR="005158DC" w:rsidRPr="00873EF9" w:rsidRDefault="005158DC" w:rsidP="005158DC">
      <w:pPr>
        <w:widowControl w:val="0"/>
        <w:numPr>
          <w:ilvl w:val="1"/>
          <w:numId w:val="1"/>
        </w:numPr>
        <w:spacing w:after="0" w:line="240" w:lineRule="auto"/>
        <w:ind w:left="360"/>
        <w:rPr>
          <w:rFonts w:ascii="Times New Roman" w:eastAsia="宋体" w:hAnsi="Times New Roman" w:cs="Arial"/>
          <w:lang w:val="zh-CN" w:eastAsia="zh-CN"/>
        </w:rPr>
      </w:pPr>
      <w:r w:rsidRPr="00873EF9">
        <w:rPr>
          <w:rFonts w:ascii="Times New Roman" w:eastAsia="宋体" w:hAnsi="Times New Roman" w:cs="Arial" w:hint="eastAsia"/>
          <w:lang w:val="zh-CN" w:eastAsia="zh-CN"/>
        </w:rPr>
        <w:t>通过投资者路演、</w:t>
      </w:r>
      <w:r>
        <w:rPr>
          <w:rFonts w:ascii="Times New Roman" w:eastAsia="宋体" w:hAnsi="Times New Roman" w:cs="Arial" w:hint="eastAsia"/>
          <w:lang w:val="zh-CN" w:eastAsia="zh-CN"/>
        </w:rPr>
        <w:t>建立</w:t>
      </w:r>
      <w:r w:rsidRPr="00873EF9">
        <w:rPr>
          <w:rFonts w:ascii="Times New Roman" w:eastAsia="宋体" w:hAnsi="Times New Roman" w:cs="Arial" w:hint="eastAsia"/>
          <w:lang w:val="zh-CN" w:eastAsia="zh-CN"/>
        </w:rPr>
        <w:t>互动平台以及绿色债券数据库和指数</w:t>
      </w:r>
      <w:r>
        <w:rPr>
          <w:rFonts w:ascii="Times New Roman" w:eastAsia="宋体" w:hAnsi="Times New Roman" w:cs="Arial" w:hint="eastAsia"/>
          <w:lang w:val="zh-CN" w:eastAsia="zh-CN"/>
        </w:rPr>
        <w:t>，提升</w:t>
      </w:r>
      <w:r w:rsidRPr="00873EF9">
        <w:rPr>
          <w:rFonts w:ascii="Times New Roman" w:eastAsia="宋体" w:hAnsi="Times New Roman" w:cs="Arial" w:hint="eastAsia"/>
          <w:lang w:val="zh-CN" w:eastAsia="zh-CN"/>
        </w:rPr>
        <w:t>国际投资者对中国绿色债券市场的了解。</w:t>
      </w:r>
    </w:p>
    <w:p w14:paraId="03F44086" w14:textId="16828A78" w:rsidR="005E0124" w:rsidRPr="00F35A2E" w:rsidRDefault="00F35A2E" w:rsidP="00F35A2E">
      <w:pPr>
        <w:spacing w:after="0" w:line="240" w:lineRule="auto"/>
        <w:rPr>
          <w:rFonts w:ascii="Arial" w:hAnsi="Arial" w:cs="Arial"/>
          <w:b/>
          <w:bCs/>
          <w:sz w:val="36"/>
          <w:szCs w:val="36"/>
          <w:lang w:eastAsia="zh-CN"/>
        </w:rPr>
      </w:pPr>
      <w:r>
        <w:rPr>
          <w:rFonts w:ascii="Arial" w:hAnsi="Arial" w:cs="Arial"/>
          <w:b/>
          <w:bCs/>
          <w:sz w:val="36"/>
          <w:szCs w:val="36"/>
          <w:lang w:eastAsia="zh-CN"/>
        </w:rPr>
        <w:br w:type="page"/>
      </w:r>
    </w:p>
    <w:p w14:paraId="4ABDC616" w14:textId="726753CB" w:rsidR="005158DC" w:rsidRPr="00F35A2E" w:rsidRDefault="00F35A2E" w:rsidP="005158DC">
      <w:pPr>
        <w:spacing w:line="240" w:lineRule="auto"/>
        <w:rPr>
          <w:rFonts w:ascii="Arial" w:hAnsi="Arial" w:cs="Arial"/>
          <w:b/>
          <w:sz w:val="36"/>
          <w:szCs w:val="36"/>
        </w:rPr>
      </w:pPr>
      <w:r w:rsidRPr="00F35A2E">
        <w:rPr>
          <w:rFonts w:ascii="Arial" w:hAnsi="Arial" w:cs="Arial"/>
          <w:b/>
          <w:sz w:val="36"/>
          <w:szCs w:val="36"/>
        </w:rPr>
        <w:lastRenderedPageBreak/>
        <w:t>Executive S</w:t>
      </w:r>
      <w:r w:rsidR="005158DC" w:rsidRPr="00F35A2E">
        <w:rPr>
          <w:rFonts w:ascii="Arial" w:hAnsi="Arial" w:cs="Arial"/>
          <w:b/>
          <w:sz w:val="36"/>
          <w:szCs w:val="36"/>
        </w:rPr>
        <w:t>ummary</w:t>
      </w:r>
    </w:p>
    <w:p w14:paraId="6D6519AC" w14:textId="5C17C0A1" w:rsidR="005158DC" w:rsidRDefault="005158DC" w:rsidP="005E0124">
      <w:pPr>
        <w:jc w:val="both"/>
        <w:rPr>
          <w:rFonts w:ascii="Arial" w:hAnsi="Arial" w:cs="Arial"/>
        </w:rPr>
      </w:pPr>
      <w:r>
        <w:rPr>
          <w:rFonts w:ascii="Arial" w:hAnsi="Arial" w:cs="Arial"/>
        </w:rPr>
        <w:t xml:space="preserve">The Paris Agreement that </w:t>
      </w:r>
      <w:r w:rsidRPr="0013722E">
        <w:rPr>
          <w:rFonts w:ascii="Arial" w:hAnsi="Arial" w:cs="Arial"/>
        </w:rPr>
        <w:t>followed</w:t>
      </w:r>
      <w:r>
        <w:rPr>
          <w:rFonts w:ascii="Arial" w:hAnsi="Arial" w:cs="Arial"/>
        </w:rPr>
        <w:t xml:space="preserve"> </w:t>
      </w:r>
      <w:r w:rsidRPr="00017291">
        <w:rPr>
          <w:rFonts w:ascii="Arial" w:hAnsi="Arial" w:cs="Arial"/>
        </w:rPr>
        <w:t>COP21</w:t>
      </w:r>
      <w:r>
        <w:rPr>
          <w:rFonts w:ascii="Arial" w:hAnsi="Arial" w:cs="Arial"/>
        </w:rPr>
        <w:t xml:space="preserve"> and the work of the G20 has established </w:t>
      </w:r>
      <w:r w:rsidRPr="00017291">
        <w:rPr>
          <w:rFonts w:ascii="Arial" w:hAnsi="Arial" w:cs="Arial"/>
        </w:rPr>
        <w:t xml:space="preserve">a clear political and economic </w:t>
      </w:r>
      <w:r>
        <w:rPr>
          <w:rFonts w:ascii="Arial" w:hAnsi="Arial" w:cs="Arial"/>
        </w:rPr>
        <w:t>mandate that the threats posed by climate change must be eliminated</w:t>
      </w:r>
      <w:r w:rsidRPr="00017291">
        <w:rPr>
          <w:rFonts w:ascii="Arial" w:hAnsi="Arial" w:cs="Arial"/>
        </w:rPr>
        <w:t>. The U</w:t>
      </w:r>
      <w:r>
        <w:rPr>
          <w:rFonts w:ascii="Arial" w:hAnsi="Arial" w:cs="Arial"/>
        </w:rPr>
        <w:t xml:space="preserve">nited </w:t>
      </w:r>
      <w:r w:rsidRPr="00017291">
        <w:rPr>
          <w:rFonts w:ascii="Arial" w:hAnsi="Arial" w:cs="Arial"/>
        </w:rPr>
        <w:t>N</w:t>
      </w:r>
      <w:r>
        <w:rPr>
          <w:rFonts w:ascii="Arial" w:hAnsi="Arial" w:cs="Arial"/>
        </w:rPr>
        <w:t>ations</w:t>
      </w:r>
      <w:r w:rsidRPr="00017291">
        <w:rPr>
          <w:rFonts w:ascii="Arial" w:hAnsi="Arial" w:cs="Arial"/>
        </w:rPr>
        <w:t xml:space="preserve"> is vigorously </w:t>
      </w:r>
      <w:r>
        <w:rPr>
          <w:rFonts w:ascii="Arial" w:hAnsi="Arial" w:cs="Arial"/>
        </w:rPr>
        <w:t xml:space="preserve">promoting </w:t>
      </w:r>
      <w:r w:rsidRPr="00017291">
        <w:rPr>
          <w:rFonts w:ascii="Arial" w:hAnsi="Arial" w:cs="Arial"/>
        </w:rPr>
        <w:t>the adoption of its Sustainable Development Goals (“SDGs”)</w:t>
      </w:r>
      <w:r>
        <w:rPr>
          <w:rFonts w:ascii="Arial" w:hAnsi="Arial" w:cs="Arial"/>
        </w:rPr>
        <w:t xml:space="preserve"> to drive the global</w:t>
      </w:r>
      <w:r w:rsidRPr="00017291">
        <w:rPr>
          <w:rFonts w:ascii="Arial" w:hAnsi="Arial" w:cs="Arial"/>
        </w:rPr>
        <w:t xml:space="preserve"> </w:t>
      </w:r>
      <w:r>
        <w:rPr>
          <w:rFonts w:ascii="Arial" w:hAnsi="Arial" w:cs="Arial"/>
        </w:rPr>
        <w:t xml:space="preserve">transition to </w:t>
      </w:r>
      <w:r w:rsidRPr="00017291">
        <w:rPr>
          <w:rFonts w:ascii="Arial" w:hAnsi="Arial" w:cs="Arial"/>
        </w:rPr>
        <w:t>a low carbon economy.</w:t>
      </w:r>
      <w:r>
        <w:rPr>
          <w:rFonts w:ascii="Arial" w:hAnsi="Arial" w:cs="Arial"/>
        </w:rPr>
        <w:t xml:space="preserve"> The G20 Green Finance Study Group, co-chaired by China and the UK, developed a set of options for scaling up green finance to meet the demand for environmentally sustainable investment globally. To meet environmental, social and governance (ESG) challenges and to mitigate those material risks associated, a wide range of stakeholders (including international organizations, national governments, regulators, the financial sector, investors and corporates) must work together to design, develop and finance sustainable eco</w:t>
      </w:r>
      <w:r w:rsidR="007B7E34">
        <w:rPr>
          <w:rFonts w:ascii="Arial" w:hAnsi="Arial" w:cs="Arial"/>
        </w:rPr>
        <w:t>nomic growth for the future. </w:t>
      </w:r>
    </w:p>
    <w:p w14:paraId="5A96D9F6" w14:textId="77777777" w:rsidR="005158DC" w:rsidRDefault="005158DC" w:rsidP="005E0124">
      <w:pPr>
        <w:jc w:val="both"/>
        <w:rPr>
          <w:rFonts w:ascii="Arial" w:hAnsi="Arial" w:cs="Arial"/>
        </w:rPr>
      </w:pPr>
      <w:r w:rsidRPr="00FD6384">
        <w:rPr>
          <w:rFonts w:ascii="Arial" w:hAnsi="Arial" w:cs="Arial"/>
        </w:rPr>
        <w:t xml:space="preserve">The financing gap to address the transition to </w:t>
      </w:r>
      <w:r>
        <w:rPr>
          <w:rFonts w:ascii="Arial" w:hAnsi="Arial" w:cs="Arial"/>
        </w:rPr>
        <w:t>an environmentally sustainable and lower carbon economy is estimated to be in excess of $90 trillion by 2030</w:t>
      </w:r>
      <w:r>
        <w:rPr>
          <w:rStyle w:val="a3"/>
          <w:rFonts w:ascii="Arial" w:hAnsi="Arial" w:cs="Arial"/>
        </w:rPr>
        <w:footnoteReference w:id="1"/>
      </w:r>
      <w:r>
        <w:rPr>
          <w:rFonts w:ascii="Arial" w:hAnsi="Arial" w:cs="Arial"/>
        </w:rPr>
        <w:t xml:space="preserve">. The risks associated with environmental degradation and climate change are enormous, </w:t>
      </w:r>
      <w:r w:rsidRPr="0013722E">
        <w:rPr>
          <w:rFonts w:ascii="Arial" w:hAnsi="Arial" w:cs="Arial"/>
          <w:i/>
        </w:rPr>
        <w:t>however</w:t>
      </w:r>
      <w:r>
        <w:rPr>
          <w:rFonts w:ascii="Arial" w:hAnsi="Arial" w:cs="Arial"/>
        </w:rPr>
        <w:t xml:space="preserve">, the </w:t>
      </w:r>
      <w:r w:rsidRPr="00017291">
        <w:rPr>
          <w:rFonts w:ascii="Arial" w:hAnsi="Arial" w:cs="Arial"/>
        </w:rPr>
        <w:t>opportunities</w:t>
      </w:r>
      <w:r>
        <w:rPr>
          <w:rFonts w:ascii="Arial" w:hAnsi="Arial" w:cs="Arial"/>
        </w:rPr>
        <w:t xml:space="preserve"> that come with sustainable economic development in the form of quality jobs and technological innovation could be truly transformative.  </w:t>
      </w:r>
      <w:r w:rsidRPr="00017291">
        <w:rPr>
          <w:rFonts w:ascii="Arial" w:hAnsi="Arial" w:cs="Arial"/>
        </w:rPr>
        <w:t xml:space="preserve"> Despite</w:t>
      </w:r>
      <w:r>
        <w:rPr>
          <w:rFonts w:ascii="Arial" w:hAnsi="Arial" w:cs="Arial"/>
        </w:rPr>
        <w:t xml:space="preserve"> the emergence of many global</w:t>
      </w:r>
      <w:r w:rsidRPr="00017291">
        <w:rPr>
          <w:rFonts w:ascii="Arial" w:hAnsi="Arial" w:cs="Arial"/>
        </w:rPr>
        <w:t xml:space="preserve"> initiatives </w:t>
      </w:r>
      <w:r>
        <w:rPr>
          <w:rFonts w:ascii="Arial" w:hAnsi="Arial" w:cs="Arial"/>
        </w:rPr>
        <w:t>looking at how best to mobilise the trillions of dollars of capital required and drive the opportunities offered by sustainable development,</w:t>
      </w:r>
      <w:r w:rsidRPr="00017291">
        <w:rPr>
          <w:rFonts w:ascii="Arial" w:hAnsi="Arial" w:cs="Arial"/>
        </w:rPr>
        <w:t xml:space="preserve"> </w:t>
      </w:r>
      <w:r w:rsidRPr="0013722E">
        <w:rPr>
          <w:rFonts w:ascii="Arial" w:hAnsi="Arial" w:cs="Arial"/>
        </w:rPr>
        <w:t>significant challenges</w:t>
      </w:r>
      <w:r w:rsidRPr="00017291">
        <w:rPr>
          <w:rFonts w:ascii="Arial" w:hAnsi="Arial" w:cs="Arial"/>
        </w:rPr>
        <w:t xml:space="preserve"> remain</w:t>
      </w:r>
      <w:r>
        <w:rPr>
          <w:rFonts w:ascii="Arial" w:hAnsi="Arial" w:cs="Arial"/>
        </w:rPr>
        <w:t xml:space="preserve">. </w:t>
      </w:r>
    </w:p>
    <w:p w14:paraId="6834A395" w14:textId="77777777" w:rsidR="005158DC" w:rsidRDefault="005158DC" w:rsidP="005E0124">
      <w:pPr>
        <w:jc w:val="both"/>
        <w:rPr>
          <w:rFonts w:ascii="Arial" w:hAnsi="Arial" w:cs="Arial"/>
        </w:rPr>
      </w:pPr>
      <w:r>
        <w:rPr>
          <w:rFonts w:ascii="Arial" w:hAnsi="Arial" w:cs="Arial"/>
        </w:rPr>
        <w:t xml:space="preserve">The UK and China have been at the forefront of these global efforts. </w:t>
      </w:r>
      <w:r w:rsidRPr="00D05B31">
        <w:rPr>
          <w:rFonts w:ascii="Arial" w:hAnsi="Arial" w:cs="Arial"/>
        </w:rPr>
        <w:t>By releasing its Green Finance Guidelines, introducing policy incentives</w:t>
      </w:r>
      <w:r>
        <w:rPr>
          <w:rFonts w:ascii="Arial" w:hAnsi="Arial" w:cs="Arial"/>
        </w:rPr>
        <w:t xml:space="preserve"> and new green finance products</w:t>
      </w:r>
      <w:r w:rsidRPr="00D05B31">
        <w:rPr>
          <w:rFonts w:ascii="Arial" w:hAnsi="Arial" w:cs="Arial"/>
        </w:rPr>
        <w:t xml:space="preserve">, and establishing many regional pilot programs, </w:t>
      </w:r>
      <w:r>
        <w:rPr>
          <w:rFonts w:ascii="Arial" w:hAnsi="Arial" w:cs="Arial"/>
        </w:rPr>
        <w:t>China is committed to creating a vibrant and comprehensive green financial system as part of its 13</w:t>
      </w:r>
      <w:r>
        <w:rPr>
          <w:rFonts w:ascii="Arial" w:hAnsi="Arial" w:cs="Arial"/>
          <w:vertAlign w:val="superscript"/>
        </w:rPr>
        <w:t>th</w:t>
      </w:r>
      <w:r>
        <w:rPr>
          <w:rFonts w:ascii="Arial" w:hAnsi="Arial" w:cs="Arial"/>
        </w:rPr>
        <w:t xml:space="preserve"> Five Year Plan. In the UK, The Bank of England has been pioneering research into the effects of environmental risk, while the UK government has worked with the industry to leverage the financial expertise residing in London and positioning it as the leading international green finance centre.</w:t>
      </w:r>
    </w:p>
    <w:p w14:paraId="46747693" w14:textId="77777777" w:rsidR="005158DC" w:rsidRDefault="005158DC" w:rsidP="005E0124">
      <w:pPr>
        <w:jc w:val="both"/>
        <w:rPr>
          <w:rFonts w:ascii="Arial" w:hAnsi="Arial" w:cs="Arial"/>
        </w:rPr>
      </w:pPr>
      <w:r>
        <w:rPr>
          <w:rFonts w:ascii="Arial" w:hAnsi="Arial" w:cs="Arial"/>
        </w:rPr>
        <w:t xml:space="preserve">The UK-China Green Finance Task Force, organised by </w:t>
      </w:r>
      <w:r w:rsidRPr="00594A44">
        <w:rPr>
          <w:rFonts w:ascii="Arial" w:hAnsi="Arial" w:cs="Arial"/>
        </w:rPr>
        <w:t>Green Finance Initiative (GFI) of City of London and the Green Finance Committee (GFC) of China Society for Finance and Banking</w:t>
      </w:r>
      <w:r>
        <w:rPr>
          <w:rFonts w:ascii="Arial" w:hAnsi="Arial" w:cs="Arial"/>
        </w:rPr>
        <w:t>, has brought together a group of leading industry and policy experts to develop market-led solutions to help scale up green finance in both countries and globally. The Report has identified five key research topics related to sustainable finance and investment and aims to provide actionable recommendations in each area.</w:t>
      </w:r>
    </w:p>
    <w:p w14:paraId="7CF5D15F" w14:textId="77777777" w:rsidR="005158DC" w:rsidRDefault="005158DC" w:rsidP="005E0124">
      <w:pPr>
        <w:jc w:val="both"/>
        <w:rPr>
          <w:rFonts w:ascii="Arial" w:hAnsi="Arial" w:cs="Arial"/>
        </w:rPr>
      </w:pPr>
      <w:r>
        <w:rPr>
          <w:rFonts w:ascii="Arial" w:hAnsi="Arial" w:cs="Arial"/>
        </w:rPr>
        <w:lastRenderedPageBreak/>
        <w:t>During the joint research efforts across the five work streams, a number of key challenges have been identified. These include:</w:t>
      </w:r>
    </w:p>
    <w:p w14:paraId="7D6E1FE5" w14:textId="77777777" w:rsidR="005158DC" w:rsidRPr="007059DF" w:rsidRDefault="005158DC" w:rsidP="005E0124">
      <w:pPr>
        <w:pStyle w:val="a8"/>
        <w:numPr>
          <w:ilvl w:val="0"/>
          <w:numId w:val="15"/>
        </w:numPr>
        <w:spacing w:line="252" w:lineRule="auto"/>
        <w:ind w:left="426"/>
        <w:jc w:val="both"/>
        <w:rPr>
          <w:rFonts w:ascii="Arial" w:hAnsi="Arial" w:cs="Arial"/>
        </w:rPr>
      </w:pPr>
      <w:r w:rsidRPr="007059DF">
        <w:rPr>
          <w:rFonts w:ascii="Arial" w:hAnsi="Arial" w:cs="Arial"/>
        </w:rPr>
        <w:t xml:space="preserve">Many investors </w:t>
      </w:r>
      <w:r>
        <w:rPr>
          <w:rFonts w:ascii="Arial" w:hAnsi="Arial" w:cs="Arial"/>
        </w:rPr>
        <w:t>and banks are</w:t>
      </w:r>
      <w:r w:rsidRPr="007059DF">
        <w:rPr>
          <w:rFonts w:ascii="Arial" w:hAnsi="Arial" w:cs="Arial"/>
        </w:rPr>
        <w:t xml:space="preserve"> not yet adequately equipped to assess and price ESG risks consistently and accurately within their current investment </w:t>
      </w:r>
      <w:r>
        <w:rPr>
          <w:rFonts w:ascii="Arial" w:hAnsi="Arial" w:cs="Arial"/>
        </w:rPr>
        <w:t xml:space="preserve">and financing </w:t>
      </w:r>
      <w:r w:rsidRPr="007059DF">
        <w:rPr>
          <w:rFonts w:ascii="Arial" w:hAnsi="Arial" w:cs="Arial"/>
        </w:rPr>
        <w:t>processes.</w:t>
      </w:r>
      <w:r>
        <w:rPr>
          <w:rFonts w:ascii="Arial" w:hAnsi="Arial" w:cs="Arial"/>
        </w:rPr>
        <w:t xml:space="preserve"> </w:t>
      </w:r>
      <w:r w:rsidRPr="007059DF">
        <w:rPr>
          <w:rFonts w:ascii="Arial" w:hAnsi="Arial" w:cs="Arial"/>
        </w:rPr>
        <w:t>This can create barriers to unlocking private sector capital into green and sustainable initiatives</w:t>
      </w:r>
    </w:p>
    <w:p w14:paraId="6AA038F4" w14:textId="1622C472" w:rsidR="005158DC" w:rsidRPr="007B7E34" w:rsidRDefault="005158DC" w:rsidP="005E0124">
      <w:pPr>
        <w:pStyle w:val="a8"/>
        <w:numPr>
          <w:ilvl w:val="0"/>
          <w:numId w:val="15"/>
        </w:numPr>
        <w:spacing w:line="252" w:lineRule="auto"/>
        <w:ind w:left="426"/>
        <w:jc w:val="both"/>
        <w:rPr>
          <w:rFonts w:ascii="Arial" w:hAnsi="Arial" w:cs="Arial"/>
        </w:rPr>
      </w:pPr>
      <w:r>
        <w:rPr>
          <w:rFonts w:ascii="Arial" w:hAnsi="Arial" w:cs="Arial"/>
        </w:rPr>
        <w:t xml:space="preserve">The lack of clear definition, identification and tagging of ‘green’ loans, as well as a number of legal barriers, pose difficulties to the development of green loan securitisation. </w:t>
      </w:r>
      <w:bookmarkStart w:id="0" w:name="_Hlk491761446"/>
    </w:p>
    <w:p w14:paraId="1FB5D97C" w14:textId="77777777" w:rsidR="005158DC" w:rsidRPr="0026381A" w:rsidRDefault="005158DC" w:rsidP="005E0124">
      <w:pPr>
        <w:numPr>
          <w:ilvl w:val="0"/>
          <w:numId w:val="15"/>
        </w:numPr>
        <w:spacing w:after="0" w:line="240" w:lineRule="auto"/>
        <w:ind w:left="426"/>
        <w:jc w:val="both"/>
        <w:rPr>
          <w:rFonts w:ascii="Arial" w:hAnsi="Arial" w:cs="Arial"/>
        </w:rPr>
      </w:pPr>
      <w:r>
        <w:rPr>
          <w:rFonts w:ascii="Arial" w:hAnsi="Arial" w:cs="Arial"/>
        </w:rPr>
        <w:t>M</w:t>
      </w:r>
      <w:r w:rsidRPr="002A5643">
        <w:rPr>
          <w:rFonts w:ascii="Arial" w:hAnsi="Arial" w:cs="Arial"/>
        </w:rPr>
        <w:t xml:space="preserve">ethodologies </w:t>
      </w:r>
      <w:r>
        <w:rPr>
          <w:rFonts w:ascii="Arial" w:hAnsi="Arial" w:cs="Arial"/>
        </w:rPr>
        <w:t xml:space="preserve">for analysing </w:t>
      </w:r>
      <w:r w:rsidRPr="002A5643">
        <w:rPr>
          <w:rFonts w:ascii="Arial" w:hAnsi="Arial" w:cs="Arial"/>
        </w:rPr>
        <w:t>the correlation between ESG factors</w:t>
      </w:r>
      <w:r>
        <w:rPr>
          <w:rFonts w:ascii="Arial" w:hAnsi="Arial" w:cs="Arial"/>
        </w:rPr>
        <w:t>,</w:t>
      </w:r>
      <w:r w:rsidRPr="002A5643">
        <w:rPr>
          <w:rFonts w:ascii="Arial" w:hAnsi="Arial" w:cs="Arial"/>
        </w:rPr>
        <w:t xml:space="preserve"> </w:t>
      </w:r>
      <w:r>
        <w:rPr>
          <w:rFonts w:ascii="Arial" w:hAnsi="Arial" w:cs="Arial"/>
        </w:rPr>
        <w:t xml:space="preserve">investment/credit risks, </w:t>
      </w:r>
      <w:r w:rsidRPr="002A5643">
        <w:rPr>
          <w:rFonts w:ascii="Arial" w:hAnsi="Arial" w:cs="Arial"/>
        </w:rPr>
        <w:t xml:space="preserve">and cost of capital </w:t>
      </w:r>
      <w:r>
        <w:rPr>
          <w:rFonts w:ascii="Arial" w:hAnsi="Arial" w:cs="Arial"/>
        </w:rPr>
        <w:t xml:space="preserve">(specifically, to show better ESG performance is positively correlated with lower credit risk and funding costs) are not yet widely available, thus restraining the market potential for green </w:t>
      </w:r>
      <w:r w:rsidRPr="0026381A">
        <w:rPr>
          <w:rFonts w:ascii="Arial" w:hAnsi="Arial" w:cs="Arial"/>
        </w:rPr>
        <w:t>financing and investment.</w:t>
      </w:r>
      <w:bookmarkEnd w:id="0"/>
      <w:r w:rsidRPr="0026381A">
        <w:rPr>
          <w:rFonts w:ascii="Arial" w:hAnsi="Arial" w:cs="Arial"/>
        </w:rPr>
        <w:t xml:space="preserve"> </w:t>
      </w:r>
      <w:r>
        <w:rPr>
          <w:rFonts w:ascii="Arial" w:hAnsi="Arial" w:cs="Arial"/>
        </w:rPr>
        <w:t xml:space="preserve"> </w:t>
      </w:r>
    </w:p>
    <w:p w14:paraId="2B550AE2" w14:textId="500B3D9D" w:rsidR="005158DC" w:rsidRPr="007B7E34" w:rsidRDefault="005158DC" w:rsidP="005E0124">
      <w:pPr>
        <w:numPr>
          <w:ilvl w:val="0"/>
          <w:numId w:val="15"/>
        </w:numPr>
        <w:spacing w:after="0" w:line="240" w:lineRule="auto"/>
        <w:ind w:left="426"/>
        <w:jc w:val="both"/>
        <w:rPr>
          <w:rFonts w:ascii="Arial" w:hAnsi="Arial" w:cs="Arial"/>
        </w:rPr>
      </w:pPr>
      <w:bookmarkStart w:id="1" w:name="_Hlk491762512"/>
      <w:r w:rsidRPr="001A1AD2">
        <w:rPr>
          <w:rFonts w:ascii="Arial" w:hAnsi="Arial" w:cs="Arial"/>
        </w:rPr>
        <w:t xml:space="preserve">As for financing green infrastructure in the ‘Belt and Road’ region, </w:t>
      </w:r>
      <w:r>
        <w:rPr>
          <w:rFonts w:ascii="Arial" w:hAnsi="Arial" w:cs="Arial"/>
        </w:rPr>
        <w:t xml:space="preserve">key obstacles remain which include the lack of green finance principles and standards for BRI projects, heightened political risks, and limited access to debt capital markets.  </w:t>
      </w:r>
    </w:p>
    <w:p w14:paraId="788F4E40" w14:textId="77777777" w:rsidR="005158DC" w:rsidRPr="006B2375" w:rsidRDefault="005158DC" w:rsidP="005E0124">
      <w:pPr>
        <w:numPr>
          <w:ilvl w:val="0"/>
          <w:numId w:val="15"/>
        </w:numPr>
        <w:spacing w:after="0" w:line="240" w:lineRule="auto"/>
        <w:ind w:left="426"/>
        <w:jc w:val="both"/>
        <w:rPr>
          <w:rFonts w:ascii="Arial" w:hAnsi="Arial" w:cs="Arial"/>
        </w:rPr>
      </w:pPr>
      <w:r w:rsidRPr="006B2375">
        <w:rPr>
          <w:rFonts w:ascii="Arial" w:hAnsi="Arial" w:cs="Arial"/>
        </w:rPr>
        <w:t xml:space="preserve">China has the vast potential to grow and open its green bond market, but several barriers have so far constrained the </w:t>
      </w:r>
      <w:r>
        <w:rPr>
          <w:rFonts w:ascii="Arial" w:hAnsi="Arial" w:cs="Arial"/>
        </w:rPr>
        <w:t xml:space="preserve">wider </w:t>
      </w:r>
      <w:r w:rsidRPr="006B2375">
        <w:rPr>
          <w:rFonts w:ascii="Arial" w:hAnsi="Arial" w:cs="Arial"/>
        </w:rPr>
        <w:t>participation of foreign investors.  These barriers include the lack of commonly agreed green bond definitions and certification schemes, lack of market education and English information, market access issues, and underdevelopment of risk hedging instruments</w:t>
      </w:r>
      <w:r>
        <w:rPr>
          <w:rFonts w:ascii="Arial" w:hAnsi="Arial" w:cs="Arial"/>
        </w:rPr>
        <w:t>.</w:t>
      </w:r>
    </w:p>
    <w:bookmarkEnd w:id="1"/>
    <w:p w14:paraId="2CB9D866" w14:textId="77777777" w:rsidR="005158DC" w:rsidRDefault="005158DC" w:rsidP="005E0124">
      <w:pPr>
        <w:jc w:val="both"/>
        <w:rPr>
          <w:rFonts w:ascii="Arial" w:hAnsi="Arial" w:cs="Arial"/>
          <w:b/>
          <w:bCs/>
        </w:rPr>
      </w:pPr>
    </w:p>
    <w:p w14:paraId="02F3F830" w14:textId="0481BE57" w:rsidR="00F35A2E" w:rsidRDefault="005158DC" w:rsidP="005E0124">
      <w:pPr>
        <w:jc w:val="both"/>
        <w:rPr>
          <w:rFonts w:ascii="Arial" w:hAnsi="Arial" w:cs="Arial"/>
          <w:b/>
          <w:bCs/>
        </w:rPr>
      </w:pPr>
      <w:r>
        <w:rPr>
          <w:rFonts w:ascii="Arial" w:hAnsi="Arial" w:cs="Arial"/>
          <w:b/>
          <w:bCs/>
        </w:rPr>
        <w:t xml:space="preserve">To address challenges identified above, the UK-China </w:t>
      </w:r>
      <w:r w:rsidRPr="00B43271">
        <w:rPr>
          <w:rFonts w:ascii="Arial" w:hAnsi="Arial" w:cs="Arial"/>
          <w:b/>
          <w:bCs/>
        </w:rPr>
        <w:t>Green Finance Taskforce</w:t>
      </w:r>
      <w:r>
        <w:rPr>
          <w:rFonts w:ascii="Arial" w:hAnsi="Arial" w:cs="Arial"/>
          <w:b/>
          <w:bCs/>
        </w:rPr>
        <w:t xml:space="preserve"> has developed</w:t>
      </w:r>
      <w:r>
        <w:t xml:space="preserve"> </w:t>
      </w:r>
      <w:r>
        <w:rPr>
          <w:rFonts w:ascii="Arial" w:hAnsi="Arial" w:cs="Arial"/>
          <w:b/>
          <w:bCs/>
        </w:rPr>
        <w:t>recommendations at both policy and industry level, which are laid out in detail within the Report. A summary of the ke</w:t>
      </w:r>
      <w:r w:rsidR="00F35A2E">
        <w:rPr>
          <w:rFonts w:ascii="Arial" w:hAnsi="Arial" w:cs="Arial"/>
          <w:b/>
          <w:bCs/>
        </w:rPr>
        <w:t>y recommendations is as follows:</w:t>
      </w:r>
    </w:p>
    <w:p w14:paraId="006FC7A8" w14:textId="77777777" w:rsidR="00F22EE2" w:rsidRDefault="00F22EE2" w:rsidP="005E0124">
      <w:pPr>
        <w:jc w:val="both"/>
        <w:rPr>
          <w:rFonts w:ascii="Arial" w:hAnsi="Arial" w:cs="Arial"/>
          <w:b/>
          <w:bCs/>
        </w:rPr>
      </w:pPr>
    </w:p>
    <w:p w14:paraId="5BB649D1" w14:textId="724F3F56" w:rsidR="005158DC" w:rsidRPr="00F35A2E" w:rsidRDefault="005158DC" w:rsidP="005E0124">
      <w:pPr>
        <w:jc w:val="both"/>
        <w:rPr>
          <w:rFonts w:ascii="Arial" w:hAnsi="Arial" w:cs="Arial"/>
        </w:rPr>
      </w:pPr>
      <w:r w:rsidRPr="00F35A2E">
        <w:rPr>
          <w:rFonts w:ascii="Arial" w:hAnsi="Arial" w:cs="Arial"/>
          <w:b/>
          <w:bCs/>
        </w:rPr>
        <w:t>Governments/policy makers/central banks</w:t>
      </w:r>
      <w:r w:rsidRPr="00F35A2E">
        <w:rPr>
          <w:rFonts w:ascii="Arial" w:hAnsi="Arial" w:cs="Arial"/>
        </w:rPr>
        <w:t xml:space="preserve"> </w:t>
      </w:r>
    </w:p>
    <w:p w14:paraId="7B3ACFDB" w14:textId="1076CDCA" w:rsidR="005158DC" w:rsidRPr="00BD7F14" w:rsidRDefault="005158DC" w:rsidP="00F05126">
      <w:pPr>
        <w:pStyle w:val="a8"/>
        <w:widowControl w:val="0"/>
        <w:numPr>
          <w:ilvl w:val="0"/>
          <w:numId w:val="16"/>
        </w:numPr>
        <w:spacing w:after="0" w:line="240" w:lineRule="auto"/>
        <w:ind w:left="426"/>
        <w:jc w:val="both"/>
        <w:rPr>
          <w:rFonts w:ascii="Arial" w:hAnsi="Arial" w:cs="Arial"/>
        </w:rPr>
      </w:pPr>
      <w:r w:rsidRPr="00BD7F14">
        <w:rPr>
          <w:rFonts w:ascii="Arial" w:hAnsi="Arial" w:cs="Arial"/>
        </w:rPr>
        <w:t xml:space="preserve">Deliver </w:t>
      </w:r>
      <w:r>
        <w:rPr>
          <w:rFonts w:ascii="Arial" w:hAnsi="Arial" w:cs="Arial"/>
        </w:rPr>
        <w:t xml:space="preserve">stronger market signals </w:t>
      </w:r>
      <w:r w:rsidRPr="00BD7F14">
        <w:rPr>
          <w:rFonts w:ascii="Arial" w:hAnsi="Arial" w:cs="Arial"/>
        </w:rPr>
        <w:t xml:space="preserve">on </w:t>
      </w:r>
      <w:r w:rsidRPr="00102C9C">
        <w:rPr>
          <w:rFonts w:ascii="Arial" w:hAnsi="Arial" w:cs="Arial"/>
        </w:rPr>
        <w:t xml:space="preserve">the importance of environmental risk analysis, as proposed by the G20 Green Finance Study Group, </w:t>
      </w:r>
      <w:r>
        <w:rPr>
          <w:rFonts w:ascii="Arial" w:hAnsi="Arial" w:cs="Arial"/>
        </w:rPr>
        <w:t>as well as</w:t>
      </w:r>
      <w:r w:rsidRPr="00102C9C">
        <w:rPr>
          <w:rFonts w:ascii="Arial" w:hAnsi="Arial" w:cs="Arial"/>
        </w:rPr>
        <w:t xml:space="preserve"> assess ESG</w:t>
      </w:r>
      <w:r w:rsidRPr="00BD7F14">
        <w:rPr>
          <w:rFonts w:ascii="Arial" w:hAnsi="Arial" w:cs="Arial"/>
        </w:rPr>
        <w:t xml:space="preserve"> financial impact on multi a</w:t>
      </w:r>
      <w:r w:rsidR="007B7E34">
        <w:rPr>
          <w:rFonts w:ascii="Arial" w:hAnsi="Arial" w:cs="Arial"/>
        </w:rPr>
        <w:t>sset classes. Examples include:</w:t>
      </w:r>
    </w:p>
    <w:p w14:paraId="1A450B35" w14:textId="6E6B0B6A" w:rsidR="005158DC" w:rsidRPr="00883B80" w:rsidRDefault="005158DC" w:rsidP="00F05126">
      <w:pPr>
        <w:widowControl w:val="0"/>
        <w:numPr>
          <w:ilvl w:val="0"/>
          <w:numId w:val="13"/>
        </w:numPr>
        <w:spacing w:after="0" w:line="240" w:lineRule="auto"/>
        <w:ind w:left="709"/>
        <w:jc w:val="both"/>
        <w:rPr>
          <w:rFonts w:ascii="Arial" w:hAnsi="Arial" w:cs="Arial"/>
        </w:rPr>
      </w:pPr>
      <w:r w:rsidRPr="00883B80">
        <w:rPr>
          <w:rFonts w:ascii="Arial" w:hAnsi="Arial" w:cs="Arial"/>
        </w:rPr>
        <w:t xml:space="preserve">Regulators should </w:t>
      </w:r>
      <w:r>
        <w:rPr>
          <w:rFonts w:ascii="Arial" w:hAnsi="Arial" w:cs="Arial"/>
        </w:rPr>
        <w:t xml:space="preserve">request </w:t>
      </w:r>
      <w:r w:rsidRPr="00883B80">
        <w:rPr>
          <w:rFonts w:ascii="Arial" w:hAnsi="Arial" w:cs="Arial"/>
        </w:rPr>
        <w:t xml:space="preserve">material ESG related risks to be </w:t>
      </w:r>
      <w:r>
        <w:rPr>
          <w:rFonts w:ascii="Arial" w:hAnsi="Arial" w:cs="Arial"/>
        </w:rPr>
        <w:t xml:space="preserve">analysed and disclosed both at </w:t>
      </w:r>
      <w:r w:rsidR="007B7E34">
        <w:rPr>
          <w:rFonts w:ascii="Arial" w:hAnsi="Arial" w:cs="Arial"/>
        </w:rPr>
        <w:t>company and investor level.</w:t>
      </w:r>
    </w:p>
    <w:p w14:paraId="65CBB376" w14:textId="77777777" w:rsidR="005158DC" w:rsidRPr="00883B80" w:rsidRDefault="005158DC" w:rsidP="00F05126">
      <w:pPr>
        <w:widowControl w:val="0"/>
        <w:numPr>
          <w:ilvl w:val="0"/>
          <w:numId w:val="13"/>
        </w:numPr>
        <w:spacing w:after="0" w:line="240" w:lineRule="auto"/>
        <w:ind w:left="709"/>
        <w:jc w:val="both"/>
        <w:rPr>
          <w:rFonts w:ascii="Arial" w:hAnsi="Arial" w:cs="Arial"/>
        </w:rPr>
      </w:pPr>
      <w:r>
        <w:rPr>
          <w:rFonts w:ascii="Arial" w:hAnsi="Arial" w:cs="Arial"/>
        </w:rPr>
        <w:t>Encourage the development of positive and</w:t>
      </w:r>
      <w:r w:rsidRPr="00883B80">
        <w:rPr>
          <w:rFonts w:ascii="Arial" w:hAnsi="Arial" w:cs="Arial"/>
        </w:rPr>
        <w:t xml:space="preserve"> negative list</w:t>
      </w:r>
      <w:r>
        <w:rPr>
          <w:rFonts w:ascii="Arial" w:hAnsi="Arial" w:cs="Arial"/>
        </w:rPr>
        <w:t>s of entities and products</w:t>
      </w:r>
      <w:r w:rsidRPr="00883B80">
        <w:rPr>
          <w:rFonts w:ascii="Arial" w:hAnsi="Arial" w:cs="Arial"/>
        </w:rPr>
        <w:t xml:space="preserve"> based on the green rating results</w:t>
      </w:r>
      <w:r>
        <w:rPr>
          <w:rFonts w:ascii="Arial" w:hAnsi="Arial" w:cs="Arial"/>
        </w:rPr>
        <w:t>, to encourage “green” performance and discourage “brown” activities.</w:t>
      </w:r>
    </w:p>
    <w:p w14:paraId="52B0B372" w14:textId="77777777" w:rsidR="005158DC" w:rsidRPr="00883B80" w:rsidRDefault="005158DC" w:rsidP="00F05126">
      <w:pPr>
        <w:widowControl w:val="0"/>
        <w:numPr>
          <w:ilvl w:val="0"/>
          <w:numId w:val="13"/>
        </w:numPr>
        <w:spacing w:after="0" w:line="240" w:lineRule="auto"/>
        <w:ind w:left="709"/>
        <w:jc w:val="both"/>
        <w:rPr>
          <w:rFonts w:ascii="Arial" w:hAnsi="Arial" w:cs="Arial"/>
        </w:rPr>
      </w:pPr>
      <w:r w:rsidRPr="00883B80">
        <w:rPr>
          <w:rFonts w:ascii="Arial" w:hAnsi="Arial" w:cs="Arial"/>
        </w:rPr>
        <w:t>D</w:t>
      </w:r>
      <w:r>
        <w:rPr>
          <w:rFonts w:ascii="Arial" w:hAnsi="Arial" w:cs="Arial"/>
        </w:rPr>
        <w:t>rive efforts to d</w:t>
      </w:r>
      <w:r w:rsidRPr="00883B80">
        <w:rPr>
          <w:rFonts w:ascii="Arial" w:hAnsi="Arial" w:cs="Arial"/>
        </w:rPr>
        <w:t>efin</w:t>
      </w:r>
      <w:r>
        <w:rPr>
          <w:rFonts w:ascii="Arial" w:hAnsi="Arial" w:cs="Arial"/>
        </w:rPr>
        <w:t>e</w:t>
      </w:r>
      <w:r w:rsidRPr="00883B80">
        <w:rPr>
          <w:rFonts w:ascii="Arial" w:hAnsi="Arial" w:cs="Arial"/>
        </w:rPr>
        <w:t xml:space="preserve"> ESG fiduciary duty</w:t>
      </w:r>
      <w:r>
        <w:rPr>
          <w:rFonts w:ascii="Arial" w:hAnsi="Arial" w:cs="Arial"/>
        </w:rPr>
        <w:t>, in particular</w:t>
      </w:r>
      <w:r w:rsidRPr="00883B80">
        <w:rPr>
          <w:rFonts w:ascii="Arial" w:hAnsi="Arial" w:cs="Arial"/>
        </w:rPr>
        <w:t xml:space="preserve"> for long-term institutional investors </w:t>
      </w:r>
      <w:r>
        <w:rPr>
          <w:rFonts w:ascii="Arial" w:hAnsi="Arial" w:cs="Arial"/>
        </w:rPr>
        <w:t xml:space="preserve">such </w:t>
      </w:r>
      <w:r w:rsidRPr="00883B80">
        <w:rPr>
          <w:rFonts w:ascii="Arial" w:hAnsi="Arial" w:cs="Arial"/>
        </w:rPr>
        <w:t>as social security, insurance, pension and annuity institutions.</w:t>
      </w:r>
    </w:p>
    <w:p w14:paraId="5FE106BC" w14:textId="77777777" w:rsidR="005158DC" w:rsidRPr="00883B80" w:rsidRDefault="005158DC" w:rsidP="00F05126">
      <w:pPr>
        <w:widowControl w:val="0"/>
        <w:numPr>
          <w:ilvl w:val="0"/>
          <w:numId w:val="13"/>
        </w:numPr>
        <w:spacing w:after="0" w:line="240" w:lineRule="auto"/>
        <w:ind w:left="709"/>
        <w:jc w:val="both"/>
        <w:rPr>
          <w:rFonts w:ascii="Arial" w:hAnsi="Arial" w:cs="Arial"/>
        </w:rPr>
      </w:pPr>
      <w:r w:rsidRPr="00883B80">
        <w:rPr>
          <w:rFonts w:ascii="Arial" w:hAnsi="Arial" w:cs="Arial"/>
        </w:rPr>
        <w:t>China to formulate</w:t>
      </w:r>
      <w:r>
        <w:rPr>
          <w:rFonts w:ascii="Arial" w:hAnsi="Arial" w:cs="Arial"/>
        </w:rPr>
        <w:t xml:space="preserve"> specific</w:t>
      </w:r>
      <w:r w:rsidRPr="00883B80">
        <w:rPr>
          <w:rFonts w:ascii="Arial" w:hAnsi="Arial" w:cs="Arial"/>
        </w:rPr>
        <w:t xml:space="preserve"> rules for compulsory disclosure of </w:t>
      </w:r>
      <w:r>
        <w:rPr>
          <w:rFonts w:ascii="Arial" w:hAnsi="Arial" w:cs="Arial"/>
        </w:rPr>
        <w:t>environmental</w:t>
      </w:r>
      <w:r w:rsidRPr="00883B80">
        <w:rPr>
          <w:rFonts w:ascii="Arial" w:hAnsi="Arial" w:cs="Arial"/>
        </w:rPr>
        <w:t xml:space="preserve"> </w:t>
      </w:r>
      <w:r w:rsidRPr="00883B80">
        <w:rPr>
          <w:rFonts w:ascii="Arial" w:hAnsi="Arial" w:cs="Arial"/>
        </w:rPr>
        <w:lastRenderedPageBreak/>
        <w:t>information</w:t>
      </w:r>
      <w:r>
        <w:rPr>
          <w:rFonts w:ascii="Arial" w:hAnsi="Arial" w:cs="Arial"/>
        </w:rPr>
        <w:t xml:space="preserve"> by listed companies and bond issuers</w:t>
      </w:r>
      <w:r w:rsidRPr="00883B80">
        <w:rPr>
          <w:rFonts w:ascii="Arial" w:hAnsi="Arial" w:cs="Arial"/>
        </w:rPr>
        <w:t>.</w:t>
      </w:r>
      <w:r>
        <w:rPr>
          <w:rFonts w:ascii="Arial" w:hAnsi="Arial" w:cs="Arial"/>
        </w:rPr>
        <w:t xml:space="preserve"> </w:t>
      </w:r>
    </w:p>
    <w:p w14:paraId="56CC50D5" w14:textId="77777777" w:rsidR="005158DC" w:rsidRPr="00883B80" w:rsidRDefault="005158DC" w:rsidP="00F05126">
      <w:pPr>
        <w:widowControl w:val="0"/>
        <w:numPr>
          <w:ilvl w:val="0"/>
          <w:numId w:val="13"/>
        </w:numPr>
        <w:spacing w:after="0" w:line="240" w:lineRule="auto"/>
        <w:ind w:left="709"/>
        <w:jc w:val="both"/>
        <w:rPr>
          <w:rFonts w:ascii="Arial" w:hAnsi="Arial" w:cs="Arial"/>
        </w:rPr>
      </w:pPr>
      <w:r w:rsidRPr="00883B80">
        <w:rPr>
          <w:rFonts w:ascii="Arial" w:hAnsi="Arial" w:cs="Arial"/>
        </w:rPr>
        <w:t>Building of ESG rating system (industry and institutional level) with combination of ‘unification’ and ‘differentiation/flexibility’.</w:t>
      </w:r>
    </w:p>
    <w:p w14:paraId="7745E2DA" w14:textId="77777777" w:rsidR="005158DC" w:rsidRPr="00BD7F14" w:rsidRDefault="005158DC" w:rsidP="00F05126">
      <w:pPr>
        <w:pStyle w:val="a8"/>
        <w:widowControl w:val="0"/>
        <w:numPr>
          <w:ilvl w:val="0"/>
          <w:numId w:val="16"/>
        </w:numPr>
        <w:spacing w:after="0" w:line="240" w:lineRule="auto"/>
        <w:ind w:left="426"/>
        <w:jc w:val="both"/>
        <w:rPr>
          <w:rFonts w:ascii="Arial" w:hAnsi="Arial" w:cs="Arial"/>
        </w:rPr>
      </w:pPr>
      <w:r w:rsidRPr="00BD7F14">
        <w:rPr>
          <w:rFonts w:ascii="Arial" w:hAnsi="Arial" w:cs="Arial"/>
        </w:rPr>
        <w:t xml:space="preserve">Continue to develop innovative </w:t>
      </w:r>
      <w:r>
        <w:rPr>
          <w:rFonts w:ascii="Arial" w:hAnsi="Arial" w:cs="Arial"/>
        </w:rPr>
        <w:t xml:space="preserve">regulatory </w:t>
      </w:r>
      <w:r w:rsidRPr="00BD7F14">
        <w:rPr>
          <w:rFonts w:ascii="Arial" w:hAnsi="Arial" w:cs="Arial"/>
        </w:rPr>
        <w:t xml:space="preserve">proposals to unlock banks’ capital at scale in order to drive further the issuance </w:t>
      </w:r>
      <w:r>
        <w:rPr>
          <w:rFonts w:ascii="Arial" w:hAnsi="Arial" w:cs="Arial"/>
        </w:rPr>
        <w:t xml:space="preserve">of </w:t>
      </w:r>
      <w:r w:rsidRPr="00BD7F14">
        <w:rPr>
          <w:rFonts w:ascii="Arial" w:hAnsi="Arial" w:cs="Arial"/>
        </w:rPr>
        <w:t xml:space="preserve">green loans and </w:t>
      </w:r>
      <w:r>
        <w:rPr>
          <w:rFonts w:ascii="Arial" w:hAnsi="Arial" w:cs="Arial"/>
        </w:rPr>
        <w:t>other green finance/investment products.</w:t>
      </w:r>
      <w:r w:rsidRPr="00BD7F14">
        <w:rPr>
          <w:rFonts w:ascii="Arial" w:hAnsi="Arial" w:cs="Arial"/>
        </w:rPr>
        <w:t xml:space="preserve"> Initiatives that regulators and central banks could pursue to promote growth in green lending activities by commercial banks include:</w:t>
      </w:r>
    </w:p>
    <w:p w14:paraId="4F1CBF7A" w14:textId="77777777" w:rsidR="005158DC" w:rsidRPr="00883B80" w:rsidRDefault="005158DC" w:rsidP="00F05126">
      <w:pPr>
        <w:widowControl w:val="0"/>
        <w:numPr>
          <w:ilvl w:val="0"/>
          <w:numId w:val="13"/>
        </w:numPr>
        <w:spacing w:after="0" w:line="240" w:lineRule="auto"/>
        <w:ind w:left="709"/>
        <w:jc w:val="both"/>
        <w:rPr>
          <w:rFonts w:ascii="Arial" w:hAnsi="Arial" w:cs="Arial"/>
        </w:rPr>
      </w:pPr>
      <w:r>
        <w:rPr>
          <w:rFonts w:ascii="Arial" w:hAnsi="Arial" w:cs="Arial"/>
        </w:rPr>
        <w:t>Allowing g</w:t>
      </w:r>
      <w:r w:rsidRPr="00883B80">
        <w:rPr>
          <w:rFonts w:ascii="Arial" w:hAnsi="Arial" w:cs="Arial"/>
        </w:rPr>
        <w:t xml:space="preserve">reen credit </w:t>
      </w:r>
      <w:r>
        <w:rPr>
          <w:rFonts w:ascii="Arial" w:hAnsi="Arial" w:cs="Arial"/>
        </w:rPr>
        <w:t xml:space="preserve">assets </w:t>
      </w:r>
      <w:r w:rsidRPr="00883B80">
        <w:rPr>
          <w:rFonts w:ascii="Arial" w:hAnsi="Arial" w:cs="Arial"/>
        </w:rPr>
        <w:t>meeting ESG rating standards in the scope of eligible collateral under the monetary policy of the central bank</w:t>
      </w:r>
    </w:p>
    <w:p w14:paraId="0351C4D9" w14:textId="29520603" w:rsidR="00F35A2E" w:rsidRDefault="005158DC" w:rsidP="00F35A2E">
      <w:pPr>
        <w:widowControl w:val="0"/>
        <w:numPr>
          <w:ilvl w:val="0"/>
          <w:numId w:val="13"/>
        </w:numPr>
        <w:spacing w:after="0" w:line="240" w:lineRule="auto"/>
        <w:ind w:left="709"/>
        <w:jc w:val="both"/>
        <w:rPr>
          <w:rFonts w:ascii="Arial" w:hAnsi="Arial" w:cs="Arial"/>
        </w:rPr>
      </w:pPr>
      <w:r w:rsidRPr="00883B80">
        <w:rPr>
          <w:rFonts w:ascii="Arial" w:hAnsi="Arial" w:cs="Arial"/>
        </w:rPr>
        <w:t>Lower</w:t>
      </w:r>
      <w:r>
        <w:rPr>
          <w:rFonts w:ascii="Arial" w:hAnsi="Arial" w:cs="Arial"/>
        </w:rPr>
        <w:t>ing</w:t>
      </w:r>
      <w:r w:rsidRPr="00883B80">
        <w:rPr>
          <w:rFonts w:ascii="Arial" w:hAnsi="Arial" w:cs="Arial"/>
        </w:rPr>
        <w:t xml:space="preserve"> capital requirements for green </w:t>
      </w:r>
      <w:r>
        <w:rPr>
          <w:rFonts w:ascii="Arial" w:hAnsi="Arial" w:cs="Arial"/>
        </w:rPr>
        <w:t xml:space="preserve">loans/bonds </w:t>
      </w:r>
      <w:r w:rsidRPr="00883B80">
        <w:rPr>
          <w:rFonts w:ascii="Arial" w:hAnsi="Arial" w:cs="Arial"/>
        </w:rPr>
        <w:t xml:space="preserve">to the enterprises with </w:t>
      </w:r>
      <w:r>
        <w:rPr>
          <w:rFonts w:ascii="Arial" w:hAnsi="Arial" w:cs="Arial"/>
        </w:rPr>
        <w:t xml:space="preserve">superior </w:t>
      </w:r>
      <w:r w:rsidRPr="00883B80">
        <w:rPr>
          <w:rFonts w:ascii="Arial" w:hAnsi="Arial" w:cs="Arial"/>
        </w:rPr>
        <w:t>ESG performance</w:t>
      </w:r>
      <w:r>
        <w:rPr>
          <w:rFonts w:ascii="Arial" w:hAnsi="Arial" w:cs="Arial"/>
        </w:rPr>
        <w:t>.</w:t>
      </w:r>
    </w:p>
    <w:p w14:paraId="4ABD75D5" w14:textId="77777777" w:rsidR="00F35A2E" w:rsidRPr="00F35A2E" w:rsidRDefault="00F35A2E" w:rsidP="00F35A2E">
      <w:pPr>
        <w:widowControl w:val="0"/>
        <w:spacing w:after="0" w:line="240" w:lineRule="auto"/>
        <w:ind w:left="349"/>
        <w:jc w:val="both"/>
        <w:rPr>
          <w:rFonts w:ascii="Arial" w:hAnsi="Arial" w:cs="Arial"/>
        </w:rPr>
      </w:pPr>
    </w:p>
    <w:p w14:paraId="527A0693" w14:textId="77777777" w:rsidR="005158DC" w:rsidRPr="00F35A2E" w:rsidRDefault="005158DC" w:rsidP="005E0124">
      <w:pPr>
        <w:jc w:val="both"/>
        <w:rPr>
          <w:rFonts w:ascii="Arial" w:hAnsi="Arial" w:cs="Arial"/>
        </w:rPr>
      </w:pPr>
      <w:r w:rsidRPr="00F35A2E">
        <w:rPr>
          <w:rFonts w:ascii="Arial" w:hAnsi="Arial" w:cs="Arial"/>
          <w:b/>
          <w:bCs/>
        </w:rPr>
        <w:t xml:space="preserve">Banks </w:t>
      </w:r>
    </w:p>
    <w:p w14:paraId="2E5B0AE6" w14:textId="77777777" w:rsidR="005158DC" w:rsidRDefault="005158DC" w:rsidP="005E0124">
      <w:pPr>
        <w:pStyle w:val="a8"/>
        <w:numPr>
          <w:ilvl w:val="0"/>
          <w:numId w:val="7"/>
        </w:numPr>
        <w:spacing w:after="0" w:line="240" w:lineRule="auto"/>
        <w:jc w:val="both"/>
        <w:rPr>
          <w:rFonts w:ascii="Arial" w:hAnsi="Arial" w:cs="Arial"/>
        </w:rPr>
      </w:pPr>
      <w:r>
        <w:rPr>
          <w:rFonts w:ascii="Arial" w:hAnsi="Arial" w:cs="Arial"/>
        </w:rPr>
        <w:t xml:space="preserve">Banks should be more proactive in managing ESG risks and opportunities and develop ESG frameworks and tools to allow sensitivity analysis across different maturities and asset classes.   </w:t>
      </w:r>
    </w:p>
    <w:p w14:paraId="75BDD6B1" w14:textId="77777777" w:rsidR="005158DC" w:rsidRDefault="005158DC" w:rsidP="005E0124">
      <w:pPr>
        <w:pStyle w:val="a8"/>
        <w:numPr>
          <w:ilvl w:val="0"/>
          <w:numId w:val="7"/>
        </w:numPr>
        <w:spacing w:after="0" w:line="240" w:lineRule="auto"/>
        <w:jc w:val="both"/>
        <w:rPr>
          <w:rFonts w:ascii="Arial" w:hAnsi="Arial" w:cs="Arial"/>
        </w:rPr>
      </w:pPr>
      <w:r>
        <w:rPr>
          <w:rFonts w:ascii="Arial" w:hAnsi="Arial" w:cs="Arial"/>
        </w:rPr>
        <w:t xml:space="preserve">Stress testing models and scenario analysis could also be used to proactively inform risk analysis and help integrate ESG assessment into portfolio construction and performance measurement. </w:t>
      </w:r>
    </w:p>
    <w:p w14:paraId="721FC6C8" w14:textId="78AD750A" w:rsidR="005158DC" w:rsidRDefault="005158DC" w:rsidP="00F35A2E">
      <w:pPr>
        <w:pStyle w:val="a8"/>
        <w:numPr>
          <w:ilvl w:val="0"/>
          <w:numId w:val="7"/>
        </w:numPr>
        <w:spacing w:after="0" w:line="240" w:lineRule="auto"/>
        <w:jc w:val="both"/>
        <w:rPr>
          <w:rFonts w:ascii="Arial" w:hAnsi="Arial" w:cs="Arial"/>
        </w:rPr>
      </w:pPr>
      <w:r>
        <w:rPr>
          <w:rFonts w:ascii="Arial" w:hAnsi="Arial" w:cs="Arial"/>
        </w:rPr>
        <w:t>Increase business development efforts towards sectors aligned with the SDGs and the transition to a low carbon economy, and drive product innovation to fulfil investors’ increasing appetite to deploy capital more sustainably.</w:t>
      </w:r>
    </w:p>
    <w:p w14:paraId="316FF479" w14:textId="77777777" w:rsidR="00F35A2E" w:rsidRPr="00F35A2E" w:rsidRDefault="00F35A2E" w:rsidP="00F35A2E">
      <w:pPr>
        <w:pStyle w:val="a8"/>
        <w:spacing w:after="0" w:line="240" w:lineRule="auto"/>
        <w:ind w:left="360"/>
        <w:jc w:val="both"/>
        <w:rPr>
          <w:rFonts w:ascii="Arial" w:hAnsi="Arial" w:cs="Arial"/>
        </w:rPr>
      </w:pPr>
    </w:p>
    <w:p w14:paraId="22E8AC9F" w14:textId="0B2E4AE0" w:rsidR="005158DC" w:rsidRPr="00F35A2E" w:rsidRDefault="005158DC" w:rsidP="005E0124">
      <w:pPr>
        <w:jc w:val="both"/>
        <w:rPr>
          <w:rFonts w:ascii="Arial" w:hAnsi="Arial" w:cs="Arial"/>
        </w:rPr>
      </w:pPr>
      <w:r w:rsidRPr="00F35A2E">
        <w:rPr>
          <w:rFonts w:ascii="Arial" w:hAnsi="Arial" w:cs="Arial" w:hint="eastAsia"/>
          <w:b/>
          <w:bCs/>
          <w:lang w:eastAsia="zh-CN"/>
        </w:rPr>
        <w:t>Inst</w:t>
      </w:r>
      <w:r w:rsidRPr="00F35A2E">
        <w:rPr>
          <w:rFonts w:ascii="Arial" w:hAnsi="Arial" w:cs="Arial"/>
          <w:b/>
          <w:bCs/>
        </w:rPr>
        <w:t xml:space="preserve">itutional investors </w:t>
      </w:r>
    </w:p>
    <w:p w14:paraId="6A5A46F0" w14:textId="66B1C858" w:rsidR="005158DC" w:rsidRPr="007B7E34" w:rsidRDefault="005158DC" w:rsidP="00F05126">
      <w:pPr>
        <w:pStyle w:val="a8"/>
        <w:numPr>
          <w:ilvl w:val="0"/>
          <w:numId w:val="7"/>
        </w:numPr>
        <w:spacing w:after="0" w:line="240" w:lineRule="auto"/>
        <w:jc w:val="both"/>
        <w:rPr>
          <w:rFonts w:ascii="Arial" w:hAnsi="Arial" w:cs="Arial"/>
        </w:rPr>
      </w:pPr>
      <w:r w:rsidRPr="00CC25B0">
        <w:rPr>
          <w:rFonts w:ascii="Arial" w:hAnsi="Arial" w:cs="Arial"/>
        </w:rPr>
        <w:t xml:space="preserve">Investors should invest in capacity building in order to fully embrace ESG considerations into their investment processes. This should include reviewing their existing portfolios to identify ESG related risks and opportunities, when comparing their portfolios’ ESG scores/weighting versus the relevant benchmarks.  </w:t>
      </w:r>
    </w:p>
    <w:p w14:paraId="1E52BF34" w14:textId="5748949C" w:rsidR="005158DC" w:rsidRPr="007B7E34" w:rsidRDefault="005158DC" w:rsidP="00F05126">
      <w:pPr>
        <w:pStyle w:val="a8"/>
        <w:numPr>
          <w:ilvl w:val="0"/>
          <w:numId w:val="7"/>
        </w:numPr>
        <w:spacing w:after="0" w:line="240" w:lineRule="auto"/>
        <w:jc w:val="both"/>
        <w:rPr>
          <w:rFonts w:ascii="Arial" w:hAnsi="Arial" w:cs="Arial"/>
        </w:rPr>
      </w:pPr>
      <w:r w:rsidRPr="00CC25B0">
        <w:rPr>
          <w:rFonts w:ascii="Arial" w:hAnsi="Arial" w:cs="Arial"/>
        </w:rPr>
        <w:t>Maintain active engagement with corporates to ensure that the growing importance of ESG factors is clearly understood by the investees.</w:t>
      </w:r>
    </w:p>
    <w:p w14:paraId="0294A8CB" w14:textId="6851AD7B" w:rsidR="007B7E34" w:rsidRPr="007B7E34" w:rsidRDefault="005158DC" w:rsidP="00F05126">
      <w:pPr>
        <w:pStyle w:val="a8"/>
        <w:numPr>
          <w:ilvl w:val="0"/>
          <w:numId w:val="7"/>
        </w:numPr>
        <w:spacing w:after="0" w:line="240" w:lineRule="auto"/>
        <w:jc w:val="both"/>
        <w:rPr>
          <w:rFonts w:ascii="Arial" w:hAnsi="Arial" w:cs="Arial"/>
        </w:rPr>
      </w:pPr>
      <w:r w:rsidRPr="00CC25B0">
        <w:rPr>
          <w:rFonts w:ascii="Arial" w:hAnsi="Arial" w:cs="Arial"/>
        </w:rPr>
        <w:t xml:space="preserve">Collaboration with policymakers on developing forward-looking environmental risk assessment, and promote the inclusion of longer time horizons. This could include development of stress testing pilot models to identify systemic risks arising from environmental exposure, improve management of material environmental risk factors, and promote investor use of scenario analysis. </w:t>
      </w:r>
    </w:p>
    <w:p w14:paraId="7CF48014" w14:textId="243DAB1E" w:rsidR="007B7E34" w:rsidRPr="007B7E34" w:rsidRDefault="005158DC" w:rsidP="00F05126">
      <w:pPr>
        <w:pStyle w:val="a8"/>
        <w:numPr>
          <w:ilvl w:val="0"/>
          <w:numId w:val="7"/>
        </w:numPr>
        <w:spacing w:after="0" w:line="240" w:lineRule="auto"/>
        <w:jc w:val="both"/>
        <w:rPr>
          <w:rFonts w:ascii="Arial" w:hAnsi="Arial" w:cs="Arial"/>
        </w:rPr>
      </w:pPr>
      <w:r w:rsidRPr="00CC25B0">
        <w:rPr>
          <w:rFonts w:ascii="Arial" w:hAnsi="Arial" w:cs="Arial"/>
        </w:rPr>
        <w:t>Develop market education programs to introduce the benefits and challenges of green bond issuance and to help improve international investors’ understanding of China’s green bond market.</w:t>
      </w:r>
    </w:p>
    <w:p w14:paraId="48E328C2" w14:textId="0C0058FF" w:rsidR="005158DC" w:rsidRPr="00F75863" w:rsidRDefault="005158DC" w:rsidP="00F05126">
      <w:pPr>
        <w:pStyle w:val="a8"/>
        <w:numPr>
          <w:ilvl w:val="0"/>
          <w:numId w:val="7"/>
        </w:numPr>
        <w:spacing w:after="0" w:line="240" w:lineRule="auto"/>
        <w:jc w:val="both"/>
        <w:rPr>
          <w:rFonts w:ascii="Arial" w:hAnsi="Arial" w:cs="Arial"/>
        </w:rPr>
      </w:pPr>
      <w:r>
        <w:rPr>
          <w:rFonts w:ascii="Arial" w:hAnsi="Arial" w:cs="Arial" w:hint="eastAsia"/>
        </w:rPr>
        <w:t>Th</w:t>
      </w:r>
      <w:r>
        <w:rPr>
          <w:rFonts w:ascii="Arial" w:hAnsi="Arial" w:cs="Arial"/>
        </w:rPr>
        <w:t xml:space="preserve">e </w:t>
      </w:r>
      <w:r w:rsidRPr="0051529E">
        <w:rPr>
          <w:rFonts w:ascii="Arial" w:hAnsi="Arial" w:cs="Arial"/>
        </w:rPr>
        <w:t>GFC and PRI to support Chinese and UK investor capacity-building in forward-looking environmental analysis, including use of scenario analysis and stressing testing for environmental and climate-related risk and opportunities</w:t>
      </w:r>
      <w:r w:rsidR="00F35A2E">
        <w:rPr>
          <w:rFonts w:ascii="Arial" w:hAnsi="Arial" w:cs="Arial"/>
        </w:rPr>
        <w:t>.</w:t>
      </w:r>
    </w:p>
    <w:p w14:paraId="4D9F64A8" w14:textId="77777777" w:rsidR="005158DC" w:rsidRDefault="005158DC" w:rsidP="005E0124">
      <w:pPr>
        <w:spacing w:after="0" w:line="240" w:lineRule="auto"/>
        <w:jc w:val="both"/>
        <w:rPr>
          <w:rFonts w:ascii="Arial" w:hAnsi="Arial" w:cs="Arial"/>
        </w:rPr>
      </w:pPr>
    </w:p>
    <w:p w14:paraId="56D93A52" w14:textId="09FB2CD9" w:rsidR="005158DC" w:rsidRPr="00F35A2E" w:rsidRDefault="005158DC" w:rsidP="005E0124">
      <w:pPr>
        <w:spacing w:after="0" w:line="240" w:lineRule="auto"/>
        <w:jc w:val="both"/>
        <w:rPr>
          <w:rFonts w:ascii="Arial" w:hAnsi="Arial" w:cs="Arial"/>
          <w:b/>
          <w:bCs/>
        </w:rPr>
      </w:pPr>
      <w:r w:rsidRPr="00F35A2E">
        <w:rPr>
          <w:rFonts w:ascii="Arial" w:hAnsi="Arial" w:cs="Arial"/>
          <w:b/>
          <w:bCs/>
        </w:rPr>
        <w:t>Corporates</w:t>
      </w:r>
    </w:p>
    <w:p w14:paraId="669F4ECD" w14:textId="77777777" w:rsidR="005158DC" w:rsidRDefault="005158DC" w:rsidP="005E0124">
      <w:pPr>
        <w:numPr>
          <w:ilvl w:val="0"/>
          <w:numId w:val="6"/>
        </w:numPr>
        <w:spacing w:after="0" w:line="240" w:lineRule="auto"/>
        <w:jc w:val="both"/>
        <w:rPr>
          <w:rFonts w:ascii="Arial" w:hAnsi="Arial" w:cs="Arial"/>
        </w:rPr>
      </w:pPr>
      <w:r>
        <w:rPr>
          <w:rFonts w:ascii="Arial" w:hAnsi="Arial" w:cs="Arial"/>
        </w:rPr>
        <w:lastRenderedPageBreak/>
        <w:t xml:space="preserve">Companies should continue to engage in dialogue and explore with capital providers (including investors and banks) on how integrating ESG considerations into their strategy could lead to a lower cost of capital. </w:t>
      </w:r>
    </w:p>
    <w:p w14:paraId="089F07B6" w14:textId="77777777" w:rsidR="005158DC" w:rsidRDefault="005158DC" w:rsidP="005E0124">
      <w:pPr>
        <w:numPr>
          <w:ilvl w:val="0"/>
          <w:numId w:val="6"/>
        </w:numPr>
        <w:spacing w:after="0" w:line="240" w:lineRule="auto"/>
        <w:jc w:val="both"/>
        <w:rPr>
          <w:rFonts w:ascii="Arial" w:hAnsi="Arial" w:cs="Arial"/>
        </w:rPr>
      </w:pPr>
      <w:r>
        <w:rPr>
          <w:rFonts w:ascii="Arial" w:hAnsi="Arial" w:cs="Arial"/>
        </w:rPr>
        <w:t>Companies should think about strategically repositioning themselves to capture green investment opportunities (e.g. electric vehicles, battery storage, greener real estate, and green infrastructure supply chain)</w:t>
      </w:r>
      <w:r w:rsidRPr="0045311C">
        <w:rPr>
          <w:rFonts w:ascii="Arial" w:hAnsi="Arial" w:cs="Arial"/>
        </w:rPr>
        <w:t xml:space="preserve"> </w:t>
      </w:r>
      <w:r>
        <w:rPr>
          <w:rFonts w:ascii="Arial" w:hAnsi="Arial" w:cs="Arial"/>
        </w:rPr>
        <w:t>with the help of innovative green financial products.</w:t>
      </w:r>
    </w:p>
    <w:p w14:paraId="4D0B53E0" w14:textId="72B72CAC" w:rsidR="005158DC" w:rsidRDefault="005158DC" w:rsidP="005E0124">
      <w:pPr>
        <w:numPr>
          <w:ilvl w:val="0"/>
          <w:numId w:val="6"/>
        </w:numPr>
        <w:spacing w:after="0" w:line="240" w:lineRule="auto"/>
        <w:jc w:val="both"/>
        <w:rPr>
          <w:rFonts w:ascii="Arial" w:hAnsi="Arial" w:cs="Arial"/>
        </w:rPr>
      </w:pPr>
      <w:r>
        <w:rPr>
          <w:rFonts w:ascii="Arial" w:hAnsi="Arial" w:cs="Arial"/>
        </w:rPr>
        <w:t>Implement</w:t>
      </w:r>
      <w:r w:rsidRPr="005B7146">
        <w:rPr>
          <w:rFonts w:ascii="Arial" w:hAnsi="Arial" w:cs="Arial"/>
        </w:rPr>
        <w:t xml:space="preserve"> TCFD recommendations to provide investors with fuller details on </w:t>
      </w:r>
      <w:r>
        <w:rPr>
          <w:rFonts w:ascii="Arial" w:hAnsi="Arial" w:cs="Arial"/>
        </w:rPr>
        <w:t xml:space="preserve">environmental information and climate </w:t>
      </w:r>
      <w:r w:rsidRPr="005B7146">
        <w:rPr>
          <w:rFonts w:ascii="Arial" w:hAnsi="Arial" w:cs="Arial"/>
        </w:rPr>
        <w:t>impacts of their business</w:t>
      </w:r>
      <w:r>
        <w:rPr>
          <w:rFonts w:ascii="Arial" w:hAnsi="Arial" w:cs="Arial"/>
        </w:rPr>
        <w:t xml:space="preserve">. </w:t>
      </w:r>
    </w:p>
    <w:p w14:paraId="7839C694" w14:textId="77777777" w:rsidR="00F35A2E" w:rsidRPr="00F35A2E" w:rsidRDefault="00F35A2E" w:rsidP="00F35A2E">
      <w:pPr>
        <w:spacing w:after="0" w:line="240" w:lineRule="auto"/>
        <w:ind w:left="360"/>
        <w:jc w:val="both"/>
        <w:rPr>
          <w:rFonts w:ascii="Arial" w:hAnsi="Arial" w:cs="Arial"/>
        </w:rPr>
      </w:pPr>
    </w:p>
    <w:p w14:paraId="469D8A1F" w14:textId="77777777" w:rsidR="005158DC" w:rsidRPr="00F35A2E" w:rsidRDefault="005158DC" w:rsidP="005E0124">
      <w:pPr>
        <w:jc w:val="both"/>
        <w:rPr>
          <w:rFonts w:ascii="Arial" w:hAnsi="Arial" w:cs="Arial"/>
          <w:b/>
          <w:bCs/>
        </w:rPr>
      </w:pPr>
      <w:r w:rsidRPr="00F35A2E">
        <w:rPr>
          <w:rFonts w:ascii="Arial" w:hAnsi="Arial" w:cs="Arial"/>
          <w:b/>
          <w:bCs/>
        </w:rPr>
        <w:t>Green loans and securitization</w:t>
      </w:r>
    </w:p>
    <w:p w14:paraId="40D348DE" w14:textId="7F102642" w:rsidR="005158DC" w:rsidRDefault="005158DC" w:rsidP="005E0124">
      <w:pPr>
        <w:numPr>
          <w:ilvl w:val="0"/>
          <w:numId w:val="12"/>
        </w:numPr>
        <w:spacing w:after="0" w:line="240" w:lineRule="auto"/>
        <w:jc w:val="both"/>
        <w:rPr>
          <w:rFonts w:ascii="Arial" w:hAnsi="Arial" w:cs="Arial"/>
        </w:rPr>
      </w:pPr>
      <w:r>
        <w:rPr>
          <w:rFonts w:ascii="Arial" w:hAnsi="Arial" w:cs="Arial"/>
        </w:rPr>
        <w:t xml:space="preserve">Establish a green loan initiative between UK and Chinese banks to help facilitate green loans securitization and green covered bonds via improving on green loan definitions, clarifying eligible assets for green securitisation, developing credit enhancement mechanisms, and standardizing key documentation. </w:t>
      </w:r>
    </w:p>
    <w:p w14:paraId="2998A930" w14:textId="77777777" w:rsidR="00F35A2E" w:rsidRPr="00F35A2E" w:rsidRDefault="00F35A2E" w:rsidP="00F35A2E">
      <w:pPr>
        <w:spacing w:after="0" w:line="240" w:lineRule="auto"/>
        <w:ind w:left="360"/>
        <w:jc w:val="both"/>
        <w:rPr>
          <w:rFonts w:ascii="Arial" w:hAnsi="Arial" w:cs="Arial"/>
        </w:rPr>
      </w:pPr>
    </w:p>
    <w:p w14:paraId="049F38C8" w14:textId="77777777" w:rsidR="005158DC" w:rsidRPr="00F35A2E" w:rsidRDefault="005158DC" w:rsidP="005E0124">
      <w:pPr>
        <w:jc w:val="both"/>
        <w:rPr>
          <w:rFonts w:ascii="Arial" w:hAnsi="Arial" w:cs="Arial"/>
          <w:b/>
          <w:bCs/>
        </w:rPr>
      </w:pPr>
      <w:r w:rsidRPr="00F35A2E">
        <w:rPr>
          <w:rFonts w:ascii="Arial" w:hAnsi="Arial" w:cs="Arial"/>
          <w:b/>
          <w:bCs/>
        </w:rPr>
        <w:t>ESG</w:t>
      </w:r>
    </w:p>
    <w:p w14:paraId="6B51F2BF" w14:textId="33D3DD1B" w:rsidR="005158DC" w:rsidRPr="00BD7A39" w:rsidRDefault="005158DC" w:rsidP="005E0124">
      <w:pPr>
        <w:numPr>
          <w:ilvl w:val="0"/>
          <w:numId w:val="4"/>
        </w:numPr>
        <w:spacing w:after="0" w:line="240" w:lineRule="auto"/>
        <w:jc w:val="both"/>
        <w:rPr>
          <w:rFonts w:ascii="Arial" w:hAnsi="Arial" w:cs="Arial"/>
        </w:rPr>
      </w:pPr>
      <w:r>
        <w:rPr>
          <w:rFonts w:ascii="Arial" w:hAnsi="Arial" w:cs="Arial"/>
        </w:rPr>
        <w:t xml:space="preserve">Establish a common approach for industry classification standards led jointly led by rating agencies and investors to achieve harmonisation in ESG assessment and ratings methodologies, </w:t>
      </w:r>
      <w:r w:rsidR="00F75863">
        <w:rPr>
          <w:rFonts w:ascii="Arial" w:hAnsi="Arial" w:cs="Arial"/>
        </w:rPr>
        <w:t>initially between UK and China.</w:t>
      </w:r>
    </w:p>
    <w:p w14:paraId="41DA7C07" w14:textId="6F744E24" w:rsidR="005158DC" w:rsidRDefault="005158DC" w:rsidP="005E0124">
      <w:pPr>
        <w:numPr>
          <w:ilvl w:val="0"/>
          <w:numId w:val="4"/>
        </w:numPr>
        <w:spacing w:after="0" w:line="240" w:lineRule="auto"/>
        <w:jc w:val="both"/>
        <w:rPr>
          <w:rFonts w:ascii="Arial" w:hAnsi="Arial" w:cs="Arial"/>
        </w:rPr>
      </w:pPr>
      <w:r>
        <w:rPr>
          <w:rFonts w:ascii="Arial" w:hAnsi="Arial" w:cs="Arial"/>
        </w:rPr>
        <w:t>Building on the current TCFD work, identify and agree for each of the ESG components appropriate industry s</w:t>
      </w:r>
      <w:r w:rsidR="00F75863">
        <w:rPr>
          <w:rFonts w:ascii="Arial" w:hAnsi="Arial" w:cs="Arial"/>
        </w:rPr>
        <w:t>pecific key ESG considerations</w:t>
      </w:r>
      <w:r w:rsidR="00F35A2E">
        <w:rPr>
          <w:rFonts w:ascii="Arial" w:hAnsi="Arial" w:cs="Arial"/>
        </w:rPr>
        <w:t>.</w:t>
      </w:r>
    </w:p>
    <w:p w14:paraId="75D4EF15" w14:textId="77777777" w:rsidR="005158DC" w:rsidRDefault="005158DC" w:rsidP="005E0124">
      <w:pPr>
        <w:jc w:val="both"/>
        <w:rPr>
          <w:rFonts w:ascii="Arial" w:hAnsi="Arial" w:cs="Arial"/>
          <w:b/>
          <w:bCs/>
        </w:rPr>
      </w:pPr>
    </w:p>
    <w:p w14:paraId="04E4F0F8" w14:textId="77777777" w:rsidR="005158DC" w:rsidRPr="00F35A2E" w:rsidRDefault="005158DC" w:rsidP="005E0124">
      <w:pPr>
        <w:jc w:val="both"/>
        <w:rPr>
          <w:rFonts w:ascii="Arial" w:hAnsi="Arial" w:cs="Arial"/>
          <w:b/>
          <w:bCs/>
        </w:rPr>
      </w:pPr>
      <w:r w:rsidRPr="00F35A2E">
        <w:rPr>
          <w:rFonts w:ascii="Arial" w:hAnsi="Arial" w:cs="Arial"/>
          <w:b/>
          <w:bCs/>
        </w:rPr>
        <w:t>Greening the Belt and Road</w:t>
      </w:r>
    </w:p>
    <w:p w14:paraId="5DFD02C7" w14:textId="6EAE842F" w:rsidR="005158DC" w:rsidRDefault="005158DC" w:rsidP="005E0124">
      <w:pPr>
        <w:numPr>
          <w:ilvl w:val="0"/>
          <w:numId w:val="5"/>
        </w:numPr>
        <w:spacing w:after="0" w:line="240" w:lineRule="auto"/>
        <w:jc w:val="both"/>
        <w:rPr>
          <w:rFonts w:ascii="Arial" w:hAnsi="Arial" w:cs="Arial"/>
        </w:rPr>
      </w:pPr>
      <w:r>
        <w:rPr>
          <w:rFonts w:ascii="Arial" w:hAnsi="Arial" w:cs="Arial"/>
        </w:rPr>
        <w:t>The Corporation of London is forming a BRI Investor Alliance (including a majority of multilateral development banks) to agree a set of harmonised standards for gree</w:t>
      </w:r>
      <w:r w:rsidR="00F75863">
        <w:rPr>
          <w:rFonts w:ascii="Arial" w:hAnsi="Arial" w:cs="Arial"/>
        </w:rPr>
        <w:t>n funding across BRI countries.</w:t>
      </w:r>
    </w:p>
    <w:p w14:paraId="4E607E55" w14:textId="292957A3" w:rsidR="005158DC" w:rsidRPr="00BD07C6" w:rsidRDefault="005158DC" w:rsidP="005E0124">
      <w:pPr>
        <w:numPr>
          <w:ilvl w:val="0"/>
          <w:numId w:val="5"/>
        </w:numPr>
        <w:spacing w:after="0" w:line="240" w:lineRule="auto"/>
        <w:jc w:val="both"/>
        <w:rPr>
          <w:rFonts w:ascii="Arial" w:hAnsi="Arial" w:cs="Arial"/>
        </w:rPr>
      </w:pPr>
      <w:r w:rsidRPr="00BD07C6">
        <w:rPr>
          <w:rFonts w:ascii="Arial" w:hAnsi="Arial" w:cs="Arial"/>
        </w:rPr>
        <w:t xml:space="preserve">The BRI Investor Alliance should explore the possibility of working with Chinese Industrial Associations (led by GFC), which are developing a set of voluntary guidelines for environmental risk </w:t>
      </w:r>
      <w:r>
        <w:rPr>
          <w:rFonts w:ascii="Arial" w:hAnsi="Arial" w:cs="Arial"/>
        </w:rPr>
        <w:t>management</w:t>
      </w:r>
      <w:r w:rsidRPr="00BD07C6">
        <w:rPr>
          <w:rFonts w:ascii="Arial" w:hAnsi="Arial" w:cs="Arial"/>
        </w:rPr>
        <w:t xml:space="preserve"> for China’s overseas investment, on extending the coverage of green finance principles to both </w:t>
      </w:r>
      <w:r w:rsidR="00F75863">
        <w:rPr>
          <w:rFonts w:ascii="Arial" w:hAnsi="Arial" w:cs="Arial"/>
        </w:rPr>
        <w:t>Chinese and foreign investors.</w:t>
      </w:r>
    </w:p>
    <w:p w14:paraId="66DB6E40" w14:textId="77777777" w:rsidR="005158DC" w:rsidRDefault="005158DC" w:rsidP="005E0124">
      <w:pPr>
        <w:jc w:val="both"/>
        <w:rPr>
          <w:rFonts w:ascii="Arial" w:hAnsi="Arial" w:cs="Arial"/>
          <w:b/>
          <w:bCs/>
        </w:rPr>
      </w:pPr>
    </w:p>
    <w:p w14:paraId="0B217242" w14:textId="4F8E61F6" w:rsidR="005158DC" w:rsidRPr="00F35A2E" w:rsidRDefault="005158DC" w:rsidP="005E0124">
      <w:pPr>
        <w:jc w:val="both"/>
        <w:rPr>
          <w:rFonts w:ascii="Arial" w:hAnsi="Arial" w:cs="Arial"/>
          <w:b/>
          <w:bCs/>
        </w:rPr>
      </w:pPr>
      <w:r w:rsidRPr="00F35A2E">
        <w:rPr>
          <w:rFonts w:ascii="Arial" w:hAnsi="Arial" w:cs="Arial"/>
          <w:b/>
          <w:bCs/>
        </w:rPr>
        <w:t xml:space="preserve">Facilitating cross-border </w:t>
      </w:r>
      <w:r w:rsidR="00F35A2E">
        <w:rPr>
          <w:rFonts w:ascii="Arial" w:hAnsi="Arial" w:cs="Arial"/>
          <w:b/>
          <w:bCs/>
        </w:rPr>
        <w:t xml:space="preserve">green </w:t>
      </w:r>
      <w:r w:rsidRPr="00F35A2E">
        <w:rPr>
          <w:rFonts w:ascii="Arial" w:hAnsi="Arial" w:cs="Arial"/>
          <w:b/>
          <w:bCs/>
        </w:rPr>
        <w:t>capital flows</w:t>
      </w:r>
    </w:p>
    <w:p w14:paraId="1D28FBC3" w14:textId="4C5C174A" w:rsidR="005158DC" w:rsidRDefault="005158DC" w:rsidP="005E0124">
      <w:pPr>
        <w:numPr>
          <w:ilvl w:val="1"/>
          <w:numId w:val="1"/>
        </w:numPr>
        <w:spacing w:after="0" w:line="240" w:lineRule="auto"/>
        <w:ind w:left="360"/>
        <w:jc w:val="both"/>
        <w:rPr>
          <w:rFonts w:ascii="Arial" w:hAnsi="Arial" w:cs="Arial"/>
        </w:rPr>
      </w:pPr>
      <w:r w:rsidRPr="00150277">
        <w:rPr>
          <w:rFonts w:ascii="Arial" w:hAnsi="Arial" w:cs="Arial"/>
        </w:rPr>
        <w:t xml:space="preserve">Harmonise green definitions </w:t>
      </w:r>
      <w:r>
        <w:rPr>
          <w:rFonts w:ascii="Arial" w:hAnsi="Arial" w:cs="Arial"/>
        </w:rPr>
        <w:t xml:space="preserve">and certification </w:t>
      </w:r>
      <w:r w:rsidRPr="00150277">
        <w:rPr>
          <w:rFonts w:ascii="Arial" w:hAnsi="Arial" w:cs="Arial"/>
        </w:rPr>
        <w:t>standards</w:t>
      </w:r>
      <w:r>
        <w:rPr>
          <w:rFonts w:ascii="Arial" w:hAnsi="Arial" w:cs="Arial"/>
        </w:rPr>
        <w:t xml:space="preserve"> for green bonds, to reduce the “search costs” for foreign investors in</w:t>
      </w:r>
      <w:r w:rsidR="00F75863">
        <w:rPr>
          <w:rFonts w:ascii="Arial" w:hAnsi="Arial" w:cs="Arial"/>
        </w:rPr>
        <w:t>vesting in Chinese green bonds.</w:t>
      </w:r>
    </w:p>
    <w:p w14:paraId="484F1AA4" w14:textId="77777777" w:rsidR="005158DC" w:rsidRPr="00150277" w:rsidRDefault="005158DC" w:rsidP="005E0124">
      <w:pPr>
        <w:numPr>
          <w:ilvl w:val="1"/>
          <w:numId w:val="1"/>
        </w:numPr>
        <w:spacing w:after="0" w:line="240" w:lineRule="auto"/>
        <w:ind w:left="360"/>
        <w:jc w:val="both"/>
        <w:rPr>
          <w:rFonts w:ascii="Arial" w:hAnsi="Arial" w:cs="Arial"/>
        </w:rPr>
      </w:pPr>
      <w:r w:rsidRPr="00150277">
        <w:rPr>
          <w:rFonts w:ascii="Arial" w:hAnsi="Arial" w:cs="Arial"/>
        </w:rPr>
        <w:t>Improving international investors' understanding of China's green bond market through investor roadshows, engagement platforms, and green bond database and indices.</w:t>
      </w:r>
    </w:p>
    <w:p w14:paraId="1DBDE544" w14:textId="77777777" w:rsidR="005158DC" w:rsidRPr="00F75863" w:rsidRDefault="005158DC" w:rsidP="005158DC">
      <w:pPr>
        <w:spacing w:after="0" w:line="240" w:lineRule="auto"/>
        <w:rPr>
          <w:rFonts w:ascii="Arial" w:hAnsi="Arial" w:cs="Arial"/>
          <w:b/>
          <w:szCs w:val="24"/>
        </w:rPr>
      </w:pPr>
      <w:bookmarkStart w:id="2" w:name="_GoBack"/>
      <w:bookmarkEnd w:id="2"/>
    </w:p>
    <w:sectPr w:rsidR="005158DC" w:rsidRPr="00F75863" w:rsidSect="00F75863">
      <w:footerReference w:type="first" r:id="rId10"/>
      <w:pgSz w:w="11900" w:h="16840"/>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D70F" w14:textId="77777777" w:rsidR="008D2237" w:rsidRDefault="008D2237" w:rsidP="005158DC">
      <w:pPr>
        <w:spacing w:after="0" w:line="240" w:lineRule="auto"/>
      </w:pPr>
      <w:r>
        <w:separator/>
      </w:r>
    </w:p>
  </w:endnote>
  <w:endnote w:type="continuationSeparator" w:id="0">
    <w:p w14:paraId="1E826B05" w14:textId="77777777" w:rsidR="008D2237" w:rsidRDefault="008D2237" w:rsidP="0051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A48B" w14:textId="77777777" w:rsidR="00F75863" w:rsidRDefault="00F75863" w:rsidP="003C7215">
    <w:pPr>
      <w:pStyle w:val="a6"/>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E6D81C4" w14:textId="77777777" w:rsidR="00F75863" w:rsidRDefault="00F75863" w:rsidP="003C7215">
    <w:pPr>
      <w:pStyle w:val="a6"/>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FE99106" w14:textId="77777777" w:rsidR="00F75863" w:rsidRDefault="00F758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1B22" w14:textId="00283A58" w:rsidR="00F75863" w:rsidRDefault="00F75863" w:rsidP="00F75863">
    <w:pPr>
      <w:pStyle w:val="a6"/>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22EE2">
      <w:rPr>
        <w:rStyle w:val="ad"/>
        <w:noProof/>
      </w:rPr>
      <w:t>- 7 -</w:t>
    </w:r>
    <w:r>
      <w:rPr>
        <w:rStyle w:val="ad"/>
      </w:rPr>
      <w:fldChar w:fldCharType="end"/>
    </w:r>
  </w:p>
  <w:p w14:paraId="375D8954" w14:textId="77777777" w:rsidR="00F75863" w:rsidRDefault="00F758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D84D" w14:textId="77777777" w:rsidR="00F75863" w:rsidRDefault="00F75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475A" w14:textId="77777777" w:rsidR="008D2237" w:rsidRDefault="008D2237" w:rsidP="005158DC">
      <w:pPr>
        <w:spacing w:after="0" w:line="240" w:lineRule="auto"/>
      </w:pPr>
      <w:r>
        <w:separator/>
      </w:r>
    </w:p>
  </w:footnote>
  <w:footnote w:type="continuationSeparator" w:id="0">
    <w:p w14:paraId="40FC24B9" w14:textId="77777777" w:rsidR="008D2237" w:rsidRDefault="008D2237" w:rsidP="005158DC">
      <w:pPr>
        <w:spacing w:after="0" w:line="240" w:lineRule="auto"/>
      </w:pPr>
      <w:r>
        <w:continuationSeparator/>
      </w:r>
    </w:p>
  </w:footnote>
  <w:footnote w:id="1">
    <w:p w14:paraId="06DB99D6" w14:textId="77777777" w:rsidR="003F0A3D" w:rsidRDefault="005158DC" w:rsidP="005158DC">
      <w:pPr>
        <w:pStyle w:val="a6"/>
        <w:rPr>
          <w:rFonts w:ascii="Arial" w:hAnsi="Arial" w:cs="Arial"/>
          <w:i/>
          <w:sz w:val="18"/>
          <w:szCs w:val="18"/>
        </w:rPr>
      </w:pPr>
      <w:r w:rsidRPr="003F0A3D">
        <w:rPr>
          <w:rStyle w:val="a3"/>
        </w:rPr>
        <w:footnoteRef/>
      </w:r>
      <w:r w:rsidRPr="003F0A3D">
        <w:t xml:space="preserve"> </w:t>
      </w:r>
      <w:r w:rsidRPr="003F0A3D">
        <w:rPr>
          <w:rFonts w:ascii="Arial" w:hAnsi="Arial" w:cs="Arial"/>
          <w:i/>
          <w:sz w:val="18"/>
          <w:szCs w:val="18"/>
        </w:rPr>
        <w:t xml:space="preserve">New climate economy </w:t>
      </w:r>
      <w:proofErr w:type="gramStart"/>
      <w:r w:rsidRPr="003F0A3D">
        <w:rPr>
          <w:rFonts w:ascii="Arial" w:hAnsi="Arial" w:cs="Arial"/>
          <w:i/>
          <w:sz w:val="18"/>
          <w:szCs w:val="18"/>
        </w:rPr>
        <w:t>report</w:t>
      </w:r>
      <w:proofErr w:type="gramEnd"/>
      <w:r w:rsidRPr="003F0A3D">
        <w:rPr>
          <w:rFonts w:ascii="Arial" w:hAnsi="Arial" w:cs="Arial"/>
          <w:i/>
          <w:sz w:val="18"/>
          <w:szCs w:val="18"/>
        </w:rPr>
        <w:t xml:space="preserve"> 2016</w:t>
      </w:r>
      <w:r w:rsidR="003F0A3D">
        <w:rPr>
          <w:rFonts w:ascii="Arial" w:hAnsi="Arial" w:cs="Arial"/>
          <w:i/>
          <w:sz w:val="18"/>
          <w:szCs w:val="18"/>
        </w:rPr>
        <w:t xml:space="preserve">, </w:t>
      </w:r>
      <w:r w:rsidR="003F0A3D" w:rsidRPr="003F0A3D">
        <w:rPr>
          <w:rFonts w:ascii="Arial" w:hAnsi="Arial" w:cs="Arial"/>
          <w:i/>
          <w:sz w:val="18"/>
          <w:szCs w:val="18"/>
        </w:rPr>
        <w:t>http://newclimateeconomy.report/wp-content/</w:t>
      </w:r>
    </w:p>
    <w:p w14:paraId="31A9508E" w14:textId="77777777" w:rsidR="005158DC" w:rsidRPr="00794BDE" w:rsidRDefault="005158DC" w:rsidP="005158DC">
      <w:pPr>
        <w:pStyle w:val="a4"/>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A38"/>
    <w:multiLevelType w:val="hybridMultilevel"/>
    <w:tmpl w:val="0C1850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271C0"/>
    <w:multiLevelType w:val="hybridMultilevel"/>
    <w:tmpl w:val="B186D6FE"/>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1E7537B6"/>
    <w:multiLevelType w:val="hybridMultilevel"/>
    <w:tmpl w:val="F35CDA26"/>
    <w:lvl w:ilvl="0" w:tplc="D480D12A">
      <w:start w:val="3"/>
      <w:numFmt w:val="bullet"/>
      <w:lvlText w:val="-"/>
      <w:lvlJc w:val="left"/>
      <w:pPr>
        <w:ind w:left="780" w:hanging="420"/>
      </w:pPr>
      <w:rPr>
        <w:rFonts w:ascii="Calibri Light" w:eastAsiaTheme="minorHAnsi" w:hAnsi="Calibri Light"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6694B7B"/>
    <w:multiLevelType w:val="hybridMultilevel"/>
    <w:tmpl w:val="0B02BF58"/>
    <w:lvl w:ilvl="0" w:tplc="D480D12A">
      <w:start w:val="3"/>
      <w:numFmt w:val="bullet"/>
      <w:lvlText w:val="-"/>
      <w:lvlJc w:val="left"/>
      <w:pPr>
        <w:ind w:left="1080" w:hanging="360"/>
      </w:pPr>
      <w:rPr>
        <w:rFonts w:ascii="Calibri Light" w:eastAsiaTheme="minorHAnsi" w:hAnsi="Calibri Light"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D480D12A">
      <w:start w:val="3"/>
      <w:numFmt w:val="bullet"/>
      <w:lvlText w:val="-"/>
      <w:lvlJc w:val="left"/>
      <w:pPr>
        <w:ind w:left="3240" w:hanging="360"/>
      </w:pPr>
      <w:rPr>
        <w:rFonts w:ascii="Calibri Light" w:eastAsiaTheme="minorHAnsi" w:hAnsi="Calibri Light" w:cstheme="minorBid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B30FD"/>
    <w:multiLevelType w:val="hybridMultilevel"/>
    <w:tmpl w:val="2D3EF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622B06"/>
    <w:multiLevelType w:val="hybridMultilevel"/>
    <w:tmpl w:val="4EEC2CE2"/>
    <w:lvl w:ilvl="0" w:tplc="D480D12A">
      <w:start w:val="3"/>
      <w:numFmt w:val="bullet"/>
      <w:lvlText w:val="-"/>
      <w:lvlJc w:val="left"/>
      <w:pPr>
        <w:ind w:left="1160" w:hanging="360"/>
      </w:pPr>
      <w:rPr>
        <w:rFonts w:ascii="Calibri Light" w:eastAsiaTheme="minorHAnsi" w:hAnsi="Calibri Light" w:cstheme="minorBidi"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6" w15:restartNumberingAfterBreak="0">
    <w:nsid w:val="3C484A53"/>
    <w:multiLevelType w:val="hybridMultilevel"/>
    <w:tmpl w:val="168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944E5"/>
    <w:multiLevelType w:val="hybridMultilevel"/>
    <w:tmpl w:val="7CD8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A740C"/>
    <w:multiLevelType w:val="hybridMultilevel"/>
    <w:tmpl w:val="986CD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0B7FBC"/>
    <w:multiLevelType w:val="hybridMultilevel"/>
    <w:tmpl w:val="33BE5D58"/>
    <w:lvl w:ilvl="0" w:tplc="D480D12A">
      <w:start w:val="3"/>
      <w:numFmt w:val="bullet"/>
      <w:lvlText w:val="-"/>
      <w:lvlJc w:val="left"/>
      <w:pPr>
        <w:ind w:left="780" w:hanging="420"/>
      </w:pPr>
      <w:rPr>
        <w:rFonts w:ascii="Calibri Light" w:eastAsiaTheme="minorHAnsi" w:hAnsi="Calibri Light"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4C83043E"/>
    <w:multiLevelType w:val="hybridMultilevel"/>
    <w:tmpl w:val="DAE0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E4232"/>
    <w:multiLevelType w:val="hybridMultilevel"/>
    <w:tmpl w:val="64B2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AB3243"/>
    <w:multiLevelType w:val="hybridMultilevel"/>
    <w:tmpl w:val="CF626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DE6B48"/>
    <w:multiLevelType w:val="hybridMultilevel"/>
    <w:tmpl w:val="DC40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0D7264"/>
    <w:multiLevelType w:val="hybridMultilevel"/>
    <w:tmpl w:val="6D746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6E4AED"/>
    <w:multiLevelType w:val="hybridMultilevel"/>
    <w:tmpl w:val="4E765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3324F3"/>
    <w:multiLevelType w:val="hybridMultilevel"/>
    <w:tmpl w:val="6F56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5"/>
  </w:num>
  <w:num w:numId="5">
    <w:abstractNumId w:val="8"/>
  </w:num>
  <w:num w:numId="6">
    <w:abstractNumId w:val="14"/>
  </w:num>
  <w:num w:numId="7">
    <w:abstractNumId w:val="13"/>
  </w:num>
  <w:num w:numId="8">
    <w:abstractNumId w:val="16"/>
  </w:num>
  <w:num w:numId="9">
    <w:abstractNumId w:val="9"/>
  </w:num>
  <w:num w:numId="10">
    <w:abstractNumId w:val="2"/>
  </w:num>
  <w:num w:numId="11">
    <w:abstractNumId w:val="7"/>
  </w:num>
  <w:num w:numId="12">
    <w:abstractNumId w:val="11"/>
  </w:num>
  <w:num w:numId="13">
    <w:abstractNumId w:val="5"/>
  </w:num>
  <w:num w:numId="14">
    <w:abstractNumId w:val="3"/>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DC"/>
    <w:rsid w:val="002764E4"/>
    <w:rsid w:val="00383614"/>
    <w:rsid w:val="003F0A3D"/>
    <w:rsid w:val="004318FD"/>
    <w:rsid w:val="004C0207"/>
    <w:rsid w:val="0051529E"/>
    <w:rsid w:val="005158DC"/>
    <w:rsid w:val="005B4DA8"/>
    <w:rsid w:val="005E0124"/>
    <w:rsid w:val="005F12EC"/>
    <w:rsid w:val="007B7E34"/>
    <w:rsid w:val="00863A28"/>
    <w:rsid w:val="008D2237"/>
    <w:rsid w:val="0092066E"/>
    <w:rsid w:val="00E55D17"/>
    <w:rsid w:val="00F05126"/>
    <w:rsid w:val="00F22EE2"/>
    <w:rsid w:val="00F35A2E"/>
    <w:rsid w:val="00F605E3"/>
    <w:rsid w:val="00F7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CA0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158DC"/>
    <w:pPr>
      <w:spacing w:after="160" w:line="259" w:lineRule="auto"/>
    </w:pPr>
    <w:rPr>
      <w:kern w:val="0"/>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SUPERS,Odwołanie przypisu,Times 10 Point,Exposant 3 Point,Footnote symbol,Footnote reference number,number,Footnote Reference Superscript,stylish,Знак сноски-FN,Ciae niinee-FN,Знак сноски 1,(Footnote Reference), Exposant 3 Point"/>
    <w:link w:val="SUPERSCharCharCharCharCharCharCharChar"/>
    <w:uiPriority w:val="99"/>
    <w:unhideWhenUsed/>
    <w:qFormat/>
    <w:rsid w:val="005158DC"/>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a"/>
    <w:link w:val="a3"/>
    <w:autoRedefine/>
    <w:uiPriority w:val="99"/>
    <w:qFormat/>
    <w:rsid w:val="005158DC"/>
    <w:pPr>
      <w:spacing w:before="120" w:line="240" w:lineRule="exact"/>
      <w:contextualSpacing/>
      <w:jc w:val="both"/>
    </w:pPr>
    <w:rPr>
      <w:kern w:val="2"/>
      <w:sz w:val="24"/>
      <w:szCs w:val="24"/>
      <w:vertAlign w:val="superscript"/>
      <w:lang w:val="en-US" w:eastAsia="zh-CN"/>
    </w:rPr>
  </w:style>
  <w:style w:type="paragraph" w:styleId="a4">
    <w:name w:val="footnote text"/>
    <w:aliases w:val="Fußnote,Voetnoottekst Char,Fußnote Char,FSR footnote,lábléc,Footnote Text Char Char,text,Voetnoottekst Char1 Char,Voetnoottekst Char Char Char,Footnote Char Char Char,Fußnote Char Char Char,ALTS FOOTNOTE,fn,Char Char"/>
    <w:basedOn w:val="a"/>
    <w:link w:val="a5"/>
    <w:uiPriority w:val="99"/>
    <w:unhideWhenUsed/>
    <w:qFormat/>
    <w:rsid w:val="005158DC"/>
    <w:pPr>
      <w:spacing w:after="0" w:line="240" w:lineRule="auto"/>
    </w:pPr>
    <w:rPr>
      <w:rFonts w:ascii="Calibri" w:eastAsia="Times New Roman" w:hAnsi="Calibri" w:cs="Times New Roman"/>
      <w:sz w:val="20"/>
      <w:szCs w:val="20"/>
      <w:lang w:val="fr-FR" w:eastAsia="ja-JP"/>
    </w:rPr>
  </w:style>
  <w:style w:type="character" w:customStyle="1" w:styleId="a5">
    <w:name w:val="脚注文本 字符"/>
    <w:aliases w:val="Fußnote 字符,Voetnoottekst Char 字符,Fußnote Char 字符,FSR footnote 字符,lábléc 字符,Footnote Text Char Char 字符,text 字符,Voetnoottekst Char1 Char 字符,Voetnoottekst Char Char Char 字符,Footnote Char Char Char 字符,Fußnote Char Char Char 字符,ALTS FOOTNOTE 字符,fn 字符"/>
    <w:basedOn w:val="a0"/>
    <w:link w:val="a4"/>
    <w:uiPriority w:val="99"/>
    <w:rsid w:val="005158DC"/>
    <w:rPr>
      <w:rFonts w:ascii="Calibri" w:eastAsia="Times New Roman" w:hAnsi="Calibri" w:cs="Times New Roman"/>
      <w:kern w:val="0"/>
      <w:sz w:val="20"/>
      <w:szCs w:val="20"/>
      <w:lang w:val="fr-FR" w:eastAsia="ja-JP"/>
    </w:rPr>
  </w:style>
  <w:style w:type="paragraph" w:styleId="a6">
    <w:name w:val="footer"/>
    <w:basedOn w:val="a"/>
    <w:link w:val="a7"/>
    <w:uiPriority w:val="99"/>
    <w:unhideWhenUsed/>
    <w:rsid w:val="005158DC"/>
    <w:pPr>
      <w:widowControl w:val="0"/>
      <w:tabs>
        <w:tab w:val="center" w:pos="4680"/>
        <w:tab w:val="right" w:pos="9360"/>
      </w:tabs>
      <w:spacing w:after="0" w:line="240" w:lineRule="auto"/>
    </w:pPr>
    <w:rPr>
      <w:rFonts w:ascii="Calibri" w:eastAsia="Times New Roman" w:hAnsi="Calibri" w:cs="Times New Roman"/>
      <w:kern w:val="2"/>
      <w:sz w:val="24"/>
      <w:lang w:val="en-US" w:eastAsia="zh-TW"/>
    </w:rPr>
  </w:style>
  <w:style w:type="character" w:customStyle="1" w:styleId="a7">
    <w:name w:val="页脚 字符"/>
    <w:basedOn w:val="a0"/>
    <w:link w:val="a6"/>
    <w:uiPriority w:val="99"/>
    <w:rsid w:val="005158DC"/>
    <w:rPr>
      <w:rFonts w:ascii="Calibri" w:eastAsia="Times New Roman" w:hAnsi="Calibri" w:cs="Times New Roman"/>
      <w:szCs w:val="22"/>
      <w:lang w:eastAsia="zh-TW"/>
    </w:rPr>
  </w:style>
  <w:style w:type="paragraph" w:styleId="a8">
    <w:name w:val="List Paragraph"/>
    <w:basedOn w:val="a"/>
    <w:uiPriority w:val="34"/>
    <w:qFormat/>
    <w:rsid w:val="005158DC"/>
    <w:pPr>
      <w:ind w:left="720"/>
      <w:contextualSpacing/>
    </w:pPr>
  </w:style>
  <w:style w:type="paragraph" w:styleId="a9">
    <w:name w:val="header"/>
    <w:basedOn w:val="a"/>
    <w:link w:val="aa"/>
    <w:uiPriority w:val="99"/>
    <w:unhideWhenUsed/>
    <w:rsid w:val="003F0A3D"/>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3F0A3D"/>
    <w:rPr>
      <w:kern w:val="0"/>
      <w:sz w:val="18"/>
      <w:szCs w:val="18"/>
      <w:lang w:val="en-GB" w:eastAsia="en-US"/>
    </w:rPr>
  </w:style>
  <w:style w:type="paragraph" w:styleId="ab">
    <w:name w:val="Balloon Text"/>
    <w:basedOn w:val="a"/>
    <w:link w:val="ac"/>
    <w:uiPriority w:val="99"/>
    <w:semiHidden/>
    <w:unhideWhenUsed/>
    <w:rsid w:val="005F12EC"/>
    <w:pPr>
      <w:spacing w:after="0" w:line="240" w:lineRule="auto"/>
    </w:pPr>
    <w:rPr>
      <w:rFonts w:ascii="宋体" w:eastAsia="宋体"/>
      <w:sz w:val="18"/>
      <w:szCs w:val="18"/>
    </w:rPr>
  </w:style>
  <w:style w:type="character" w:customStyle="1" w:styleId="ac">
    <w:name w:val="批注框文本 字符"/>
    <w:basedOn w:val="a0"/>
    <w:link w:val="ab"/>
    <w:uiPriority w:val="99"/>
    <w:semiHidden/>
    <w:rsid w:val="005F12EC"/>
    <w:rPr>
      <w:rFonts w:ascii="宋体" w:eastAsia="宋体"/>
      <w:kern w:val="0"/>
      <w:sz w:val="18"/>
      <w:szCs w:val="18"/>
      <w:lang w:val="en-GB" w:eastAsia="en-US"/>
    </w:rPr>
  </w:style>
  <w:style w:type="character" w:styleId="ad">
    <w:name w:val="page number"/>
    <w:basedOn w:val="a0"/>
    <w:uiPriority w:val="99"/>
    <w:semiHidden/>
    <w:unhideWhenUsed/>
    <w:rsid w:val="00E5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26C51D-8480-427D-9F07-AB78003D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Chung</dc:creator>
  <cp:keywords/>
  <dc:description/>
  <cp:lastModifiedBy>junmainhk@qq.com</cp:lastModifiedBy>
  <cp:revision>3</cp:revision>
  <cp:lastPrinted>2017-08-31T07:45:00Z</cp:lastPrinted>
  <dcterms:created xsi:type="dcterms:W3CDTF">2017-08-31T11:42:00Z</dcterms:created>
  <dcterms:modified xsi:type="dcterms:W3CDTF">2017-08-31T11:42:00Z</dcterms:modified>
</cp:coreProperties>
</file>