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80" w:type="dxa"/>
        <w:tblCellSpacing w:w="0" w:type="dxa"/>
        <w:tblCellMar>
          <w:top w:w="75" w:type="dxa"/>
          <w:left w:w="75" w:type="dxa"/>
          <w:bottom w:w="75" w:type="dxa"/>
          <w:right w:w="75" w:type="dxa"/>
        </w:tblCellMar>
        <w:tblLook w:val="04A0" w:firstRow="1" w:lastRow="0" w:firstColumn="1" w:lastColumn="0" w:noHBand="0" w:noVBand="1"/>
      </w:tblPr>
      <w:tblGrid>
        <w:gridCol w:w="8580"/>
      </w:tblGrid>
      <w:tr w:rsidR="00512F8D" w:rsidRPr="00D701CD">
        <w:trPr>
          <w:tblCellSpacing w:w="0" w:type="dxa"/>
        </w:trPr>
        <w:tc>
          <w:tcPr>
            <w:tcW w:w="8580" w:type="dxa"/>
            <w:tcMar>
              <w:top w:w="150" w:type="dxa"/>
              <w:left w:w="90" w:type="dxa"/>
              <w:bottom w:w="150" w:type="dxa"/>
              <w:right w:w="75" w:type="dxa"/>
            </w:tcMar>
            <w:hideMark/>
          </w:tcPr>
          <w:p w:rsidR="00512F8D" w:rsidRPr="00D701CD" w:rsidRDefault="00512F8D" w:rsidP="00512F8D">
            <w:pPr>
              <w:widowControl/>
              <w:spacing w:after="240"/>
              <w:jc w:val="center"/>
              <w:rPr>
                <w:rFonts w:ascii="宋体" w:eastAsia="宋体" w:hAnsi="宋体" w:cs="宋体"/>
                <w:color w:val="000000"/>
                <w:kern w:val="0"/>
                <w:sz w:val="36"/>
                <w:szCs w:val="24"/>
              </w:rPr>
            </w:pPr>
            <w:bookmarkStart w:id="0" w:name="_GoBack"/>
            <w:r w:rsidRPr="00D701CD">
              <w:rPr>
                <w:rFonts w:ascii="黑体" w:eastAsia="黑体" w:hAnsi="黑体" w:cs="宋体" w:hint="eastAsia"/>
                <w:b/>
                <w:bCs/>
                <w:color w:val="000000"/>
                <w:kern w:val="0"/>
                <w:sz w:val="36"/>
                <w:szCs w:val="35"/>
              </w:rPr>
              <w:t xml:space="preserve">探索绿色金融的“中国模式” </w:t>
            </w:r>
          </w:p>
        </w:tc>
      </w:tr>
      <w:bookmarkEnd w:id="0"/>
    </w:tbl>
    <w:p w:rsidR="00512F8D" w:rsidRPr="00D701CD" w:rsidRDefault="00512F8D" w:rsidP="00512F8D">
      <w:pPr>
        <w:widowControl/>
        <w:jc w:val="left"/>
        <w:rPr>
          <w:rFonts w:ascii="宋体" w:eastAsia="宋体" w:hAnsi="宋体" w:cs="宋体"/>
          <w:vanish/>
          <w:color w:val="000000"/>
          <w:kern w:val="0"/>
          <w:sz w:val="15"/>
          <w:szCs w:val="24"/>
        </w:rPr>
      </w:pPr>
    </w:p>
    <w:tbl>
      <w:tblPr>
        <w:tblW w:w="5000" w:type="pct"/>
        <w:tblCellSpacing w:w="0" w:type="dxa"/>
        <w:tblBorders>
          <w:bottom w:val="dashed" w:sz="6" w:space="0" w:color="555555"/>
        </w:tblBorders>
        <w:tblCellMar>
          <w:top w:w="90" w:type="dxa"/>
          <w:left w:w="90" w:type="dxa"/>
          <w:bottom w:w="90" w:type="dxa"/>
          <w:right w:w="90" w:type="dxa"/>
        </w:tblCellMar>
        <w:tblLook w:val="04A0" w:firstRow="1" w:lastRow="0" w:firstColumn="1" w:lastColumn="0" w:noHBand="0" w:noVBand="1"/>
      </w:tblPr>
      <w:tblGrid>
        <w:gridCol w:w="7560"/>
        <w:gridCol w:w="746"/>
      </w:tblGrid>
      <w:tr w:rsidR="00512F8D" w:rsidRPr="00D701CD">
        <w:trPr>
          <w:tblCellSpacing w:w="0" w:type="dxa"/>
        </w:trPr>
        <w:tc>
          <w:tcPr>
            <w:tcW w:w="0" w:type="auto"/>
            <w:shd w:val="clear" w:color="auto" w:fill="FFFFFF"/>
            <w:vAlign w:val="center"/>
            <w:hideMark/>
          </w:tcPr>
          <w:p w:rsidR="00512F8D" w:rsidRPr="00D701CD" w:rsidRDefault="00512F8D" w:rsidP="00512F8D">
            <w:pPr>
              <w:widowControl/>
              <w:jc w:val="left"/>
              <w:rPr>
                <w:rFonts w:ascii="宋体" w:eastAsia="宋体" w:hAnsi="宋体" w:cs="宋体"/>
                <w:color w:val="000000"/>
                <w:kern w:val="0"/>
                <w:sz w:val="15"/>
                <w:szCs w:val="24"/>
              </w:rPr>
            </w:pPr>
          </w:p>
        </w:tc>
        <w:tc>
          <w:tcPr>
            <w:tcW w:w="0" w:type="auto"/>
            <w:shd w:val="clear" w:color="auto" w:fill="FFFFFF"/>
            <w:tcMar>
              <w:top w:w="90" w:type="dxa"/>
              <w:left w:w="90" w:type="dxa"/>
              <w:bottom w:w="90" w:type="dxa"/>
              <w:right w:w="0" w:type="dxa"/>
            </w:tcMar>
            <w:vAlign w:val="center"/>
            <w:hideMark/>
          </w:tcPr>
          <w:p w:rsidR="00512F8D" w:rsidRPr="00D701CD" w:rsidRDefault="00512F8D" w:rsidP="00512F8D">
            <w:pPr>
              <w:widowControl/>
              <w:jc w:val="right"/>
              <w:rPr>
                <w:rFonts w:ascii="宋体" w:eastAsia="宋体" w:hAnsi="宋体" w:cs="宋体"/>
                <w:color w:val="000000"/>
                <w:kern w:val="0"/>
                <w:sz w:val="8"/>
                <w:szCs w:val="18"/>
              </w:rPr>
            </w:pPr>
            <w:r w:rsidRPr="00D701CD">
              <w:rPr>
                <w:rFonts w:ascii="宋体" w:eastAsia="宋体" w:hAnsi="宋体" w:cs="宋体"/>
                <w:color w:val="000000"/>
                <w:kern w:val="0"/>
                <w:sz w:val="8"/>
                <w:szCs w:val="18"/>
              </w:rPr>
              <w:t> </w:t>
            </w:r>
          </w:p>
        </w:tc>
      </w:tr>
      <w:tr w:rsidR="00512F8D" w:rsidRPr="00D701CD">
        <w:trPr>
          <w:tblCellSpacing w:w="0" w:type="dxa"/>
        </w:trPr>
        <w:tc>
          <w:tcPr>
            <w:tcW w:w="7560" w:type="dxa"/>
            <w:shd w:val="clear" w:color="auto" w:fill="FFFFFF"/>
            <w:vAlign w:val="center"/>
            <w:hideMark/>
          </w:tcPr>
          <w:p w:rsidR="00512F8D" w:rsidRPr="00D701CD" w:rsidRDefault="00512F8D" w:rsidP="00512F8D">
            <w:pPr>
              <w:widowControl/>
              <w:jc w:val="center"/>
              <w:rPr>
                <w:rFonts w:ascii="宋体" w:eastAsia="宋体" w:hAnsi="宋体" w:cs="宋体"/>
                <w:color w:val="000000"/>
                <w:kern w:val="0"/>
                <w:sz w:val="15"/>
                <w:szCs w:val="24"/>
              </w:rPr>
            </w:pPr>
          </w:p>
        </w:tc>
        <w:tc>
          <w:tcPr>
            <w:tcW w:w="0" w:type="auto"/>
            <w:shd w:val="clear" w:color="auto" w:fill="FFFFFF"/>
            <w:vAlign w:val="center"/>
            <w:hideMark/>
          </w:tcPr>
          <w:p w:rsidR="00512F8D" w:rsidRPr="00D701CD" w:rsidRDefault="00512F8D" w:rsidP="00512F8D">
            <w:pPr>
              <w:widowControl/>
              <w:jc w:val="left"/>
              <w:rPr>
                <w:rFonts w:ascii="Times New Roman" w:eastAsia="Times New Roman" w:hAnsi="Times New Roman" w:cs="Times New Roman"/>
                <w:kern w:val="0"/>
                <w:sz w:val="10"/>
                <w:szCs w:val="20"/>
              </w:rPr>
            </w:pPr>
          </w:p>
        </w:tc>
      </w:tr>
    </w:tbl>
    <w:p w:rsidR="00D71BC0" w:rsidRDefault="00D71BC0">
      <w:pPr>
        <w:rPr>
          <w:sz w:val="11"/>
        </w:rPr>
      </w:pPr>
    </w:p>
    <w:p w:rsidR="00D701CD" w:rsidRPr="00D701CD" w:rsidRDefault="00D701CD">
      <w:pPr>
        <w:rPr>
          <w:sz w:val="24"/>
        </w:rPr>
      </w:pPr>
    </w:p>
    <w:p w:rsidR="00D701CD" w:rsidRPr="00D701CD" w:rsidRDefault="00D701CD" w:rsidP="00D701CD">
      <w:pPr>
        <w:rPr>
          <w:rFonts w:hint="eastAsia"/>
          <w:sz w:val="24"/>
        </w:rPr>
      </w:pPr>
      <w:r w:rsidRPr="00D701CD">
        <w:rPr>
          <w:rFonts w:hint="eastAsia"/>
          <w:sz w:val="24"/>
        </w:rPr>
        <w:t>安国俊</w:t>
      </w:r>
    </w:p>
    <w:p w:rsidR="00D701CD" w:rsidRPr="00D701CD" w:rsidRDefault="00D701CD" w:rsidP="00D701CD">
      <w:pPr>
        <w:rPr>
          <w:rFonts w:hint="eastAsia"/>
          <w:sz w:val="24"/>
        </w:rPr>
      </w:pPr>
      <w:r w:rsidRPr="00D701CD">
        <w:rPr>
          <w:rFonts w:hint="eastAsia"/>
          <w:sz w:val="24"/>
        </w:rPr>
        <w:t>研究表明，我国严重的环境污染在很大程度上与高污染的产业结构、能源结构和交通结构有关。要推进绿色发展、低碳发展，发挥绿色金融和资本的资源配置作用至关重要。</w:t>
      </w:r>
    </w:p>
    <w:p w:rsidR="00D701CD" w:rsidRPr="00D701CD" w:rsidRDefault="00D701CD" w:rsidP="00D701CD">
      <w:pPr>
        <w:rPr>
          <w:rFonts w:hint="eastAsia"/>
          <w:sz w:val="24"/>
        </w:rPr>
      </w:pPr>
      <w:r w:rsidRPr="00D701CD">
        <w:rPr>
          <w:rFonts w:hint="eastAsia"/>
          <w:sz w:val="24"/>
        </w:rPr>
        <w:t>根据《</w:t>
      </w:r>
      <w:r w:rsidRPr="00D701CD">
        <w:rPr>
          <w:rFonts w:hint="eastAsia"/>
          <w:sz w:val="24"/>
        </w:rPr>
        <w:t xml:space="preserve">2013 </w:t>
      </w:r>
      <w:r w:rsidRPr="00D701CD">
        <w:rPr>
          <w:rFonts w:hint="eastAsia"/>
          <w:sz w:val="24"/>
        </w:rPr>
        <w:t>中国气候融资报告：公共资金机制创新》的统计预估，要实现到</w:t>
      </w:r>
      <w:r w:rsidRPr="00D701CD">
        <w:rPr>
          <w:rFonts w:hint="eastAsia"/>
          <w:sz w:val="24"/>
        </w:rPr>
        <w:t xml:space="preserve">2020 </w:t>
      </w:r>
      <w:r w:rsidRPr="00D701CD">
        <w:rPr>
          <w:rFonts w:hint="eastAsia"/>
          <w:sz w:val="24"/>
        </w:rPr>
        <w:t>年年底单位碳排放强度减少</w:t>
      </w:r>
      <w:r w:rsidRPr="00D701CD">
        <w:rPr>
          <w:rFonts w:hint="eastAsia"/>
          <w:sz w:val="24"/>
        </w:rPr>
        <w:t xml:space="preserve">40%~45% </w:t>
      </w:r>
      <w:r w:rsidRPr="00D701CD">
        <w:rPr>
          <w:rFonts w:hint="eastAsia"/>
          <w:sz w:val="24"/>
        </w:rPr>
        <w:t>的目标，我国相关资金的融资缺口每年超过两万亿元。除了公共财政支持外，政府需要通过有效的激励机制和制度安排引导社会资金投入到绿色产业中去，绿色金融体系的构建和相关政策的出台正当其时。</w:t>
      </w:r>
    </w:p>
    <w:p w:rsidR="00D701CD" w:rsidRPr="00D701CD" w:rsidRDefault="00D701CD" w:rsidP="00D701CD">
      <w:pPr>
        <w:rPr>
          <w:rFonts w:hint="eastAsia"/>
          <w:sz w:val="24"/>
        </w:rPr>
      </w:pPr>
      <w:r w:rsidRPr="00D701CD">
        <w:rPr>
          <w:rFonts w:hint="eastAsia"/>
          <w:sz w:val="24"/>
        </w:rPr>
        <w:t>生态责任投资进程明显加速</w:t>
      </w:r>
    </w:p>
    <w:p w:rsidR="00D701CD" w:rsidRPr="00D701CD" w:rsidRDefault="00D701CD" w:rsidP="00D701CD">
      <w:pPr>
        <w:rPr>
          <w:rFonts w:hint="eastAsia"/>
          <w:sz w:val="24"/>
        </w:rPr>
      </w:pPr>
      <w:r w:rsidRPr="00D701CD">
        <w:rPr>
          <w:rFonts w:hint="eastAsia"/>
          <w:sz w:val="24"/>
        </w:rPr>
        <w:t>绿色金融体系是指通过贷款、私募投资、产业基金、发行绿色债券和股票、保险等金融服务将社会资金引导到环保、节能、清洁能源、清洁交通等绿色产业发展的一系列政策、制度安排和相关基础设施建设。</w:t>
      </w:r>
    </w:p>
    <w:p w:rsidR="00D701CD" w:rsidRPr="00D701CD" w:rsidRDefault="00D701CD" w:rsidP="00D701CD">
      <w:pPr>
        <w:rPr>
          <w:rFonts w:hint="eastAsia"/>
          <w:sz w:val="24"/>
        </w:rPr>
      </w:pPr>
      <w:r w:rsidRPr="00D701CD">
        <w:rPr>
          <w:rFonts w:hint="eastAsia"/>
          <w:sz w:val="24"/>
        </w:rPr>
        <w:t>从全球来看，绿色金融得到了一定程度的发展，具体措施包括绿色信贷、赤道原则等。截至</w:t>
      </w:r>
      <w:r w:rsidRPr="00D701CD">
        <w:rPr>
          <w:rFonts w:hint="eastAsia"/>
          <w:sz w:val="24"/>
        </w:rPr>
        <w:t>2013</w:t>
      </w:r>
      <w:r w:rsidRPr="00D701CD">
        <w:rPr>
          <w:rFonts w:hint="eastAsia"/>
          <w:sz w:val="24"/>
        </w:rPr>
        <w:t>年，已经有</w:t>
      </w:r>
      <w:r w:rsidRPr="00D701CD">
        <w:rPr>
          <w:rFonts w:hint="eastAsia"/>
          <w:sz w:val="24"/>
        </w:rPr>
        <w:t>35</w:t>
      </w:r>
      <w:r w:rsidRPr="00D701CD">
        <w:rPr>
          <w:rFonts w:hint="eastAsia"/>
          <w:sz w:val="24"/>
        </w:rPr>
        <w:t>个国家的</w:t>
      </w:r>
      <w:r w:rsidRPr="00D701CD">
        <w:rPr>
          <w:rFonts w:hint="eastAsia"/>
          <w:sz w:val="24"/>
        </w:rPr>
        <w:t>78</w:t>
      </w:r>
      <w:r w:rsidRPr="00D701CD">
        <w:rPr>
          <w:rFonts w:hint="eastAsia"/>
          <w:sz w:val="24"/>
        </w:rPr>
        <w:t>家金融机构采用赤道原则，其项目融资总额占全球项目融资总额的份额接近</w:t>
      </w:r>
      <w:r w:rsidRPr="00D701CD">
        <w:rPr>
          <w:rFonts w:hint="eastAsia"/>
          <w:sz w:val="24"/>
        </w:rPr>
        <w:t>90%</w:t>
      </w:r>
      <w:r w:rsidRPr="00D701CD">
        <w:rPr>
          <w:rFonts w:hint="eastAsia"/>
          <w:sz w:val="24"/>
        </w:rPr>
        <w:t>。</w:t>
      </w:r>
    </w:p>
    <w:p w:rsidR="00D701CD" w:rsidRPr="00D701CD" w:rsidRDefault="00D701CD" w:rsidP="00D701CD">
      <w:pPr>
        <w:rPr>
          <w:rFonts w:hint="eastAsia"/>
          <w:sz w:val="24"/>
        </w:rPr>
      </w:pPr>
      <w:r w:rsidRPr="00D701CD">
        <w:rPr>
          <w:rFonts w:hint="eastAsia"/>
          <w:sz w:val="24"/>
        </w:rPr>
        <w:t>在绿色证券方面，金融机构运用证券市场工具帮助大型环境基础设施或节能减排项目融资，并为企业提供与环境相关的避险工具，如绿色资产抵押支持证券、气候衍生品等。在绿色保险方面，根据与环境相关的特点，不断完善为清洁技术以及减排活动而定制的保险产品，如环境污染责任保险、节能减排保证保险等。</w:t>
      </w:r>
    </w:p>
    <w:p w:rsidR="00D701CD" w:rsidRPr="00D701CD" w:rsidRDefault="00D701CD" w:rsidP="00D701CD">
      <w:pPr>
        <w:rPr>
          <w:rFonts w:hint="eastAsia"/>
          <w:sz w:val="24"/>
        </w:rPr>
      </w:pPr>
      <w:r w:rsidRPr="00D701CD">
        <w:rPr>
          <w:rFonts w:hint="eastAsia"/>
          <w:sz w:val="24"/>
        </w:rPr>
        <w:t>近几年，国内银行业推进生态责任投资的进程已经明显加速，这很大程度上得益于银监会、人民银行和环保部合力推动的绿色信贷政策。</w:t>
      </w:r>
    </w:p>
    <w:p w:rsidR="00D701CD" w:rsidRPr="00D701CD" w:rsidRDefault="00D701CD" w:rsidP="00D701CD">
      <w:pPr>
        <w:rPr>
          <w:rFonts w:hint="eastAsia"/>
          <w:sz w:val="24"/>
        </w:rPr>
      </w:pPr>
      <w:r w:rsidRPr="00D701CD">
        <w:rPr>
          <w:rFonts w:hint="eastAsia"/>
          <w:sz w:val="24"/>
        </w:rPr>
        <w:t>此外，我国还应着力扶持培育一批专业化节能服务公司，建立规范有序的节能服务市场和完善的节能服务体系，加强政策扶持力度，包括融资支持（比如绿色信贷、融资租赁、资产证券化）、财政税收支持、金融服务支持等。从加强财政税收的支持力度考虑，建议减免低碳行业的增值税、消费税，建立节能减排财政专项扶持资金和合同能源管理奖励资金，从而推动碳金融与产业结构调整及经济发展方式转变的顺利衔接。</w:t>
      </w:r>
    </w:p>
    <w:p w:rsidR="00D701CD" w:rsidRPr="00D701CD" w:rsidRDefault="00D701CD" w:rsidP="00D701CD">
      <w:pPr>
        <w:rPr>
          <w:rFonts w:hint="eastAsia"/>
          <w:sz w:val="24"/>
        </w:rPr>
      </w:pPr>
      <w:r w:rsidRPr="00D701CD">
        <w:rPr>
          <w:rFonts w:hint="eastAsia"/>
          <w:sz w:val="24"/>
        </w:rPr>
        <w:t>碳金融市场需要创新发展</w:t>
      </w:r>
    </w:p>
    <w:p w:rsidR="00D701CD" w:rsidRPr="00D701CD" w:rsidRDefault="00D701CD" w:rsidP="00D701CD">
      <w:pPr>
        <w:rPr>
          <w:rFonts w:hint="eastAsia"/>
          <w:sz w:val="24"/>
        </w:rPr>
      </w:pPr>
      <w:r w:rsidRPr="00D701CD">
        <w:rPr>
          <w:rFonts w:hint="eastAsia"/>
          <w:sz w:val="24"/>
        </w:rPr>
        <w:t>低碳经济发展所导致的经济结构、产业结构调整，以及经济发展方式、消费方式乃至生活方式的转变，必然会引导国际金融业由传统金融迈向碳金融的结构性变革。</w:t>
      </w:r>
    </w:p>
    <w:p w:rsidR="00D701CD" w:rsidRPr="00D701CD" w:rsidRDefault="00D701CD" w:rsidP="00D701CD">
      <w:pPr>
        <w:rPr>
          <w:rFonts w:hint="eastAsia"/>
          <w:sz w:val="24"/>
        </w:rPr>
      </w:pPr>
      <w:r w:rsidRPr="00D701CD">
        <w:rPr>
          <w:rFonts w:hint="eastAsia"/>
          <w:sz w:val="24"/>
        </w:rPr>
        <w:t>基于此，我国商业银行应积极参与碳金融的有关业务，提高竞争力，为业务转型与创新把握机遇。碳金融的创新模式包括：银行类碳基金理财产品、以</w:t>
      </w:r>
      <w:r w:rsidRPr="00D701CD">
        <w:rPr>
          <w:rFonts w:hint="eastAsia"/>
          <w:sz w:val="24"/>
        </w:rPr>
        <w:t>CERs</w:t>
      </w:r>
      <w:r w:rsidRPr="00D701CD">
        <w:rPr>
          <w:rFonts w:hint="eastAsia"/>
          <w:sz w:val="24"/>
        </w:rPr>
        <w:t>收</w:t>
      </w:r>
      <w:r w:rsidRPr="00D701CD">
        <w:rPr>
          <w:rFonts w:hint="eastAsia"/>
          <w:sz w:val="24"/>
        </w:rPr>
        <w:lastRenderedPageBreak/>
        <w:t>益权作为质押的贷款、融资租赁、保理、信托类碳金融产品、私募基金、碳资产证券化和碳交易保险等。</w:t>
      </w:r>
    </w:p>
    <w:p w:rsidR="00D701CD" w:rsidRPr="00D701CD" w:rsidRDefault="00D701CD" w:rsidP="00D701CD">
      <w:pPr>
        <w:rPr>
          <w:rFonts w:hint="eastAsia"/>
          <w:sz w:val="24"/>
        </w:rPr>
      </w:pPr>
      <w:r w:rsidRPr="00D701CD">
        <w:rPr>
          <w:rFonts w:hint="eastAsia"/>
          <w:sz w:val="24"/>
        </w:rPr>
        <w:t>目前，国内已有银行推出了</w:t>
      </w:r>
      <w:r w:rsidRPr="00D701CD">
        <w:rPr>
          <w:rFonts w:hint="eastAsia"/>
          <w:sz w:val="24"/>
        </w:rPr>
        <w:t>CDM</w:t>
      </w:r>
      <w:r w:rsidRPr="00D701CD">
        <w:rPr>
          <w:rFonts w:hint="eastAsia"/>
          <w:sz w:val="24"/>
        </w:rPr>
        <w:t>项目融资和挂钩碳交易的结构性产品等业务和产品，如兴业银行在项目融资方面正不断创新，中国银行和平安银行先后推出了收益率挂钩海外二氧化碳排放额度期货价格的理财产品。</w:t>
      </w:r>
    </w:p>
    <w:p w:rsidR="00D701CD" w:rsidRPr="00D701CD" w:rsidRDefault="00D701CD" w:rsidP="00D701CD">
      <w:pPr>
        <w:rPr>
          <w:rFonts w:hint="eastAsia"/>
          <w:sz w:val="24"/>
        </w:rPr>
      </w:pPr>
      <w:r w:rsidRPr="00D701CD">
        <w:rPr>
          <w:rFonts w:hint="eastAsia"/>
          <w:sz w:val="24"/>
        </w:rPr>
        <w:t>放眼未来，更应该积极发展碳金融相关中间业务，逐步发展碳交易代理、碳资产管理、低碳业务咨询服务、设计碳金融相关理财产品等业务，以及设立碳基金、直接参与碳信用交易、支持低碳消耗型企业的发展等。同时，商业银</w:t>
      </w:r>
    </w:p>
    <w:p w:rsidR="00D701CD" w:rsidRPr="00D701CD" w:rsidRDefault="00D701CD" w:rsidP="00D701CD">
      <w:pPr>
        <w:rPr>
          <w:rFonts w:hint="eastAsia"/>
          <w:sz w:val="24"/>
        </w:rPr>
      </w:pPr>
      <w:r w:rsidRPr="00D701CD">
        <w:rPr>
          <w:rFonts w:hint="eastAsia"/>
          <w:sz w:val="24"/>
        </w:rPr>
        <w:t>行在开发有潜力的</w:t>
      </w:r>
      <w:r w:rsidRPr="00D701CD">
        <w:rPr>
          <w:rFonts w:hint="eastAsia"/>
          <w:sz w:val="24"/>
        </w:rPr>
        <w:t>CDM</w:t>
      </w:r>
      <w:r w:rsidRPr="00D701CD">
        <w:rPr>
          <w:rFonts w:hint="eastAsia"/>
          <w:sz w:val="24"/>
        </w:rPr>
        <w:t>项目时，应积极引入私募基金进入，并设置灵活的退出机制，从而使得民间投资者能够有效参与到碳金融项目之中。</w:t>
      </w:r>
    </w:p>
    <w:p w:rsidR="00D701CD" w:rsidRPr="00D701CD" w:rsidRDefault="00D701CD" w:rsidP="00D701CD">
      <w:pPr>
        <w:rPr>
          <w:rFonts w:hint="eastAsia"/>
          <w:sz w:val="24"/>
        </w:rPr>
      </w:pPr>
      <w:r w:rsidRPr="00D701CD">
        <w:rPr>
          <w:rFonts w:hint="eastAsia"/>
          <w:sz w:val="24"/>
        </w:rPr>
        <w:t>在制度层面，需要为企业和市场探索碳金融市场提供交易平台，包括交易平台搭建、投融资机制建立、丰富市场参与主体、银行引导的信贷资金配置碳约束责任、更多地参与碳交易市场、排放权期货衍生品的推出等，从机制建设和政策激励层面为碳交易出谋划策，在金融层面增强我国的碳交易能力。</w:t>
      </w:r>
    </w:p>
    <w:p w:rsidR="00D701CD" w:rsidRPr="00D701CD" w:rsidRDefault="00D701CD" w:rsidP="00D701CD">
      <w:pPr>
        <w:rPr>
          <w:rFonts w:hint="eastAsia"/>
          <w:sz w:val="24"/>
        </w:rPr>
      </w:pPr>
      <w:r w:rsidRPr="00D701CD">
        <w:rPr>
          <w:rFonts w:hint="eastAsia"/>
          <w:sz w:val="24"/>
        </w:rPr>
        <w:t>提高社会资本参与积极性</w:t>
      </w:r>
    </w:p>
    <w:p w:rsidR="00D701CD" w:rsidRPr="00D701CD" w:rsidRDefault="00D701CD" w:rsidP="00D701CD">
      <w:pPr>
        <w:rPr>
          <w:rFonts w:hint="eastAsia"/>
          <w:sz w:val="24"/>
        </w:rPr>
      </w:pPr>
      <w:r w:rsidRPr="00D701CD">
        <w:rPr>
          <w:rFonts w:hint="eastAsia"/>
          <w:sz w:val="24"/>
        </w:rPr>
        <w:t>过去</w:t>
      </w:r>
      <w:r w:rsidRPr="00D701CD">
        <w:rPr>
          <w:rFonts w:hint="eastAsia"/>
          <w:sz w:val="24"/>
        </w:rPr>
        <w:t>10</w:t>
      </w:r>
      <w:r w:rsidRPr="00D701CD">
        <w:rPr>
          <w:rFonts w:hint="eastAsia"/>
          <w:sz w:val="24"/>
        </w:rPr>
        <w:t>年，我国房地产业发挥了黄金产业的功能；未来</w:t>
      </w:r>
      <w:r w:rsidRPr="00D701CD">
        <w:rPr>
          <w:rFonts w:hint="eastAsia"/>
          <w:sz w:val="24"/>
        </w:rPr>
        <w:t>10</w:t>
      </w:r>
      <w:r w:rsidRPr="00D701CD">
        <w:rPr>
          <w:rFonts w:hint="eastAsia"/>
          <w:sz w:val="24"/>
        </w:rPr>
        <w:t>年，环保产业应该是值得大力发展的黄金产业。应多措并举促进环保企业融资，实施包括绿色信贷、</w:t>
      </w:r>
      <w:r w:rsidRPr="00D701CD">
        <w:rPr>
          <w:rFonts w:hint="eastAsia"/>
          <w:sz w:val="24"/>
        </w:rPr>
        <w:t>IPO</w:t>
      </w:r>
      <w:r w:rsidRPr="00D701CD">
        <w:rPr>
          <w:rFonts w:hint="eastAsia"/>
          <w:sz w:val="24"/>
        </w:rPr>
        <w:t>、绿色债券、环保集合债、中小企业私募债、中期票据、绿色产业基金等措施，从政策层面促进环保产业发展。</w:t>
      </w:r>
    </w:p>
    <w:p w:rsidR="00D701CD" w:rsidRPr="00D701CD" w:rsidRDefault="00D701CD" w:rsidP="00D701CD">
      <w:pPr>
        <w:rPr>
          <w:rFonts w:hint="eastAsia"/>
          <w:sz w:val="24"/>
        </w:rPr>
      </w:pPr>
      <w:r w:rsidRPr="00D701CD">
        <w:rPr>
          <w:rFonts w:hint="eastAsia"/>
          <w:sz w:val="24"/>
        </w:rPr>
        <w:t>绿色产业基金可以引导社会金融资本加大对绿色产业的投入力度，是绿色信贷的重要补充。建立公共财政和私人资本合作的</w:t>
      </w:r>
      <w:r w:rsidRPr="00D701CD">
        <w:rPr>
          <w:rFonts w:hint="eastAsia"/>
          <w:sz w:val="24"/>
        </w:rPr>
        <w:t>PPP</w:t>
      </w:r>
      <w:r w:rsidRPr="00D701CD">
        <w:rPr>
          <w:rFonts w:hint="eastAsia"/>
          <w:sz w:val="24"/>
        </w:rPr>
        <w:t>模式绿色产业基金，提高社会资本参与环保产业的积极性，是推动绿色产业基金发展的重要路径。也应该及时出台规范</w:t>
      </w:r>
      <w:r w:rsidRPr="00D701CD">
        <w:rPr>
          <w:rFonts w:hint="eastAsia"/>
          <w:sz w:val="24"/>
        </w:rPr>
        <w:t>PPP</w:t>
      </w:r>
      <w:r w:rsidRPr="00D701CD">
        <w:rPr>
          <w:rFonts w:hint="eastAsia"/>
          <w:sz w:val="24"/>
        </w:rPr>
        <w:t>模式绿色产业基金的法律法规，发挥政府在资金筹集和投向等方面的政策引导作用。</w:t>
      </w:r>
    </w:p>
    <w:p w:rsidR="00D701CD" w:rsidRPr="00D701CD" w:rsidRDefault="00D701CD" w:rsidP="00D701CD">
      <w:pPr>
        <w:rPr>
          <w:rFonts w:hint="eastAsia"/>
          <w:sz w:val="24"/>
        </w:rPr>
      </w:pPr>
      <w:r w:rsidRPr="00D701CD">
        <w:rPr>
          <w:rFonts w:hint="eastAsia"/>
          <w:sz w:val="24"/>
        </w:rPr>
        <w:t>我国应完善对绿色产业的扶持政策，建立环保企业上市的绿色通道，提高环保企业上市募集资金投资项目的灵活性。另外，在支持民间资本进入城市污水处理、空气污染治理、城市园林绿化行业领域等方面，相关政策应该细化和落地，可通过放宽准入、减免税收、补贴和土地政策等措施来支持绿色产业基金的发展。</w:t>
      </w:r>
    </w:p>
    <w:p w:rsidR="00D701CD" w:rsidRPr="00D701CD" w:rsidRDefault="00D701CD" w:rsidP="00D701CD">
      <w:pPr>
        <w:rPr>
          <w:rFonts w:hint="eastAsia"/>
          <w:sz w:val="24"/>
        </w:rPr>
      </w:pPr>
      <w:r w:rsidRPr="00D701CD">
        <w:rPr>
          <w:rFonts w:hint="eastAsia"/>
          <w:sz w:val="24"/>
        </w:rPr>
        <w:t>从机制层面推进绿色金融体系的建设和发展，应鼓励银行业等金融机构创新对环保产业的服务，包括融资支持（包括绿色信贷、绿色金融租赁、节能环保资产证券化）、研究推进能效贷款、绿色金融租赁、碳金融产品、节能减排收益权和排污权质押融资，鼓励绿色保险的创新；加快推行绿色评级制度，加快排放（污）权交易市场建设；同时，加强财政税收支持力度，发挥政府与市场的协调合力，推进环保产业可持续发展。</w:t>
      </w:r>
    </w:p>
    <w:p w:rsidR="00D701CD" w:rsidRPr="00D701CD" w:rsidRDefault="00D701CD" w:rsidP="00D701CD">
      <w:pPr>
        <w:rPr>
          <w:rFonts w:hint="eastAsia"/>
          <w:sz w:val="24"/>
        </w:rPr>
      </w:pPr>
      <w:r w:rsidRPr="00D701CD">
        <w:rPr>
          <w:rFonts w:hint="eastAsia"/>
          <w:sz w:val="24"/>
        </w:rPr>
        <w:t>作者系中国社会科学院金融研究所副研究员</w:t>
      </w:r>
    </w:p>
    <w:p w:rsidR="00D701CD" w:rsidRPr="00D701CD" w:rsidRDefault="00D701CD" w:rsidP="00D701CD">
      <w:pPr>
        <w:rPr>
          <w:sz w:val="24"/>
        </w:rPr>
      </w:pPr>
    </w:p>
    <w:p w:rsidR="00D701CD" w:rsidRPr="00D701CD" w:rsidRDefault="00D701CD">
      <w:pPr>
        <w:rPr>
          <w:rFonts w:hint="eastAsia"/>
          <w:sz w:val="11"/>
        </w:rPr>
      </w:pPr>
    </w:p>
    <w:sectPr w:rsidR="00D701CD" w:rsidRPr="00D701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C17" w:rsidRDefault="00363C17" w:rsidP="00D701CD">
      <w:r>
        <w:separator/>
      </w:r>
    </w:p>
  </w:endnote>
  <w:endnote w:type="continuationSeparator" w:id="0">
    <w:p w:rsidR="00363C17" w:rsidRDefault="00363C17" w:rsidP="00D70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C17" w:rsidRDefault="00363C17" w:rsidP="00D701CD">
      <w:r>
        <w:separator/>
      </w:r>
    </w:p>
  </w:footnote>
  <w:footnote w:type="continuationSeparator" w:id="0">
    <w:p w:rsidR="00363C17" w:rsidRDefault="00363C17" w:rsidP="00D701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F8D"/>
    <w:rsid w:val="00363C17"/>
    <w:rsid w:val="00512F8D"/>
    <w:rsid w:val="00D701CD"/>
    <w:rsid w:val="00D71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FA0AFF-18C7-4956-BE4B-8217B939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12F8D"/>
    <w:rPr>
      <w:b/>
      <w:bCs/>
    </w:rPr>
  </w:style>
  <w:style w:type="paragraph" w:styleId="a4">
    <w:name w:val="Normal (Web)"/>
    <w:basedOn w:val="a"/>
    <w:uiPriority w:val="99"/>
    <w:semiHidden/>
    <w:unhideWhenUsed/>
    <w:rsid w:val="00512F8D"/>
    <w:pPr>
      <w:widowControl/>
      <w:spacing w:before="100" w:beforeAutospacing="1" w:after="100" w:afterAutospacing="1"/>
      <w:jc w:val="left"/>
    </w:pPr>
    <w:rPr>
      <w:rFonts w:ascii="宋体" w:eastAsia="宋体" w:hAnsi="宋体" w:cs="宋体"/>
      <w:color w:val="000000"/>
      <w:kern w:val="0"/>
      <w:sz w:val="24"/>
      <w:szCs w:val="24"/>
    </w:rPr>
  </w:style>
  <w:style w:type="paragraph" w:styleId="a5">
    <w:name w:val="header"/>
    <w:basedOn w:val="a"/>
    <w:link w:val="Char"/>
    <w:uiPriority w:val="99"/>
    <w:unhideWhenUsed/>
    <w:rsid w:val="00D701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701CD"/>
    <w:rPr>
      <w:sz w:val="18"/>
      <w:szCs w:val="18"/>
    </w:rPr>
  </w:style>
  <w:style w:type="paragraph" w:styleId="a6">
    <w:name w:val="footer"/>
    <w:basedOn w:val="a"/>
    <w:link w:val="Char0"/>
    <w:uiPriority w:val="99"/>
    <w:unhideWhenUsed/>
    <w:rsid w:val="00D701CD"/>
    <w:pPr>
      <w:tabs>
        <w:tab w:val="center" w:pos="4153"/>
        <w:tab w:val="right" w:pos="8306"/>
      </w:tabs>
      <w:snapToGrid w:val="0"/>
      <w:jc w:val="left"/>
    </w:pPr>
    <w:rPr>
      <w:sz w:val="18"/>
      <w:szCs w:val="18"/>
    </w:rPr>
  </w:style>
  <w:style w:type="character" w:customStyle="1" w:styleId="Char0">
    <w:name w:val="页脚 Char"/>
    <w:basedOn w:val="a0"/>
    <w:link w:val="a6"/>
    <w:uiPriority w:val="99"/>
    <w:rsid w:val="00D701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979160">
      <w:bodyDiv w:val="1"/>
      <w:marLeft w:val="0"/>
      <w:marRight w:val="0"/>
      <w:marTop w:val="0"/>
      <w:marBottom w:val="0"/>
      <w:divBdr>
        <w:top w:val="none" w:sz="0" w:space="0" w:color="auto"/>
        <w:left w:val="none" w:sz="0" w:space="0" w:color="auto"/>
        <w:bottom w:val="none" w:sz="0" w:space="0" w:color="auto"/>
        <w:right w:val="none" w:sz="0" w:space="0" w:color="auto"/>
      </w:divBdr>
      <w:divsChild>
        <w:div w:id="1432243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2015-05-21T03:32:00Z</dcterms:created>
  <dcterms:modified xsi:type="dcterms:W3CDTF">2015-05-21T06:57:00Z</dcterms:modified>
</cp:coreProperties>
</file>