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AB" w:rsidRPr="003947AB" w:rsidRDefault="003947AB" w:rsidP="003947AB">
      <w:pPr>
        <w:widowControl/>
        <w:pBdr>
          <w:bottom w:val="single" w:sz="6" w:space="8" w:color="E7E7EB"/>
        </w:pBdr>
        <w:spacing w:before="100" w:beforeAutospacing="1" w:after="75"/>
        <w:jc w:val="left"/>
        <w:outlineLvl w:val="1"/>
        <w:rPr>
          <w:rFonts w:ascii="微软雅黑" w:eastAsia="微软雅黑" w:hAnsi="微软雅黑" w:cs="Helvetica"/>
          <w:vanish/>
          <w:kern w:val="0"/>
          <w:sz w:val="36"/>
          <w:szCs w:val="36"/>
        </w:rPr>
      </w:pPr>
      <w:bookmarkStart w:id="0" w:name="_GoBack"/>
      <w:r w:rsidRPr="003947AB">
        <w:rPr>
          <w:rFonts w:ascii="微软雅黑" w:eastAsia="微软雅黑" w:hAnsi="微软雅黑" w:cs="Helvetica" w:hint="eastAsia"/>
          <w:vanish/>
          <w:kern w:val="0"/>
          <w:sz w:val="36"/>
          <w:szCs w:val="36"/>
        </w:rPr>
        <w:t>国开行郭濂：引导和鼓励社会资本投向绿色产业</w:t>
      </w:r>
      <w:bookmarkEnd w:id="0"/>
    </w:p>
    <w:p w:rsidR="003947AB" w:rsidRPr="003947AB" w:rsidRDefault="003947AB" w:rsidP="003947AB">
      <w:pPr>
        <w:widowControl/>
        <w:shd w:val="clear" w:color="auto" w:fill="FFFFFF"/>
        <w:spacing w:line="300" w:lineRule="atLeast"/>
        <w:jc w:val="left"/>
        <w:rPr>
          <w:rFonts w:ascii="微软雅黑" w:eastAsia="微软雅黑" w:hAnsi="微软雅黑" w:cs="Helvetica"/>
          <w:kern w:val="0"/>
          <w:sz w:val="2"/>
          <w:szCs w:val="2"/>
        </w:rPr>
      </w:pPr>
      <w:r w:rsidRPr="003947AB">
        <w:rPr>
          <w:rFonts w:ascii="微软雅黑" w:eastAsia="微软雅黑" w:hAnsi="微软雅黑" w:cs="Helvetica" w:hint="eastAsia"/>
          <w:i/>
          <w:iCs/>
          <w:kern w:val="0"/>
          <w:sz w:val="24"/>
          <w:szCs w:val="24"/>
        </w:rPr>
        <w:t>2015-05-08郭濂</w:t>
      </w:r>
    </w:p>
    <w:p w:rsidR="003947AB" w:rsidRPr="003947AB" w:rsidRDefault="003947AB" w:rsidP="003947AB">
      <w:pPr>
        <w:widowControl/>
        <w:shd w:val="clear" w:color="auto" w:fill="FFFFFF"/>
        <w:jc w:val="left"/>
        <w:rPr>
          <w:rFonts w:ascii="微软雅黑" w:eastAsia="微软雅黑" w:hAnsi="微软雅黑" w:cs="Helvetica"/>
          <w:kern w:val="0"/>
          <w:sz w:val="24"/>
          <w:szCs w:val="24"/>
        </w:rPr>
      </w:pPr>
      <w:r w:rsidRPr="003947AB">
        <w:rPr>
          <w:rFonts w:ascii="微软雅黑" w:eastAsia="微软雅黑" w:hAnsi="微软雅黑" w:cs="Helvetica"/>
          <w:noProof/>
          <w:kern w:val="0"/>
          <w:sz w:val="24"/>
          <w:szCs w:val="24"/>
        </w:rPr>
        <w:drawing>
          <wp:inline distT="0" distB="0" distL="0" distR="0">
            <wp:extent cx="5325035" cy="2828925"/>
            <wp:effectExtent l="19050" t="0" r="8965" b="0"/>
            <wp:docPr id="3" name="图片 3" descr="http://mmbiz.qpic.cn/mmbiz/lV3x1tWEib0GXvX0qheEia4JJniaicLf2iawSt5vSGKrJn1CicOQSsqhNPko7soRwBKCVVNKmyYicVM388lQZWdkb7wYg/640?wx_fmt=jpeg&amp;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cover" descr="http://mmbiz.qpic.cn/mmbiz/lV3x1tWEib0GXvX0qheEia4JJniaicLf2iawSt5vSGKrJn1CicOQSsqhNPko7soRwBKCVVNKmyYicVM388lQZWdkb7wYg/640?wx_fmt=jpeg&amp;wxfrom=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5035" cy="2828925"/>
                    </a:xfrm>
                    <a:prstGeom prst="rect">
                      <a:avLst/>
                    </a:prstGeom>
                    <a:noFill/>
                    <a:ln>
                      <a:noFill/>
                    </a:ln>
                  </pic:spPr>
                </pic:pic>
              </a:graphicData>
            </a:graphic>
          </wp:inline>
        </w:drawing>
      </w:r>
    </w:p>
    <w:p w:rsidR="003947AB" w:rsidRPr="003947AB" w:rsidRDefault="003947AB" w:rsidP="003947AB">
      <w:pPr>
        <w:widowControl/>
        <w:shd w:val="clear" w:color="auto" w:fill="FFFFFF"/>
        <w:jc w:val="left"/>
        <w:rPr>
          <w:rFonts w:ascii="微软雅黑" w:eastAsia="微软雅黑" w:hAnsi="微软雅黑" w:cs="Helvetica"/>
          <w:color w:val="3E3E3E"/>
          <w:kern w:val="0"/>
          <w:sz w:val="24"/>
          <w:szCs w:val="24"/>
        </w:rPr>
      </w:pPr>
      <w:r w:rsidRPr="003947AB">
        <w:rPr>
          <w:rFonts w:ascii="微软雅黑" w:eastAsia="微软雅黑" w:hAnsi="微软雅黑" w:cs="Helvetica" w:hint="eastAsia"/>
          <w:color w:val="3E3E3E"/>
          <w:kern w:val="0"/>
          <w:sz w:val="24"/>
          <w:szCs w:val="24"/>
        </w:rPr>
        <w:t xml:space="preserve">水晶专栏 </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中共中央、国务院日前印发的《关于加快推进生态文明建设的意见》明确，大力发展节能环保产业，加快培育新的经济增长点，同时指出，规范节能环保市场发展，多渠道引导社会资金投入，形成新的支柱产业。近日，财政部、环保部又联合印发了《关于推进水污染防治领域政府和社会资本合作的实施意见》，对水污染防治领域政府和社会资本合作（</w:t>
      </w:r>
      <w:r w:rsidRPr="003947AB">
        <w:rPr>
          <w:rFonts w:ascii="微软雅黑" w:eastAsia="微软雅黑" w:hAnsi="微软雅黑" w:cs="Helvetica" w:hint="eastAsia"/>
          <w:color w:val="3E3E3E"/>
          <w:kern w:val="0"/>
          <w:sz w:val="24"/>
          <w:szCs w:val="24"/>
        </w:rPr>
        <w:t>PPP</w:t>
      </w:r>
      <w:r w:rsidRPr="003947AB">
        <w:rPr>
          <w:rFonts w:ascii="宋体" w:eastAsia="宋体" w:hAnsi="宋体" w:cs="Helvetica" w:hint="eastAsia"/>
          <w:color w:val="3E3E3E"/>
          <w:kern w:val="0"/>
          <w:sz w:val="24"/>
          <w:szCs w:val="24"/>
        </w:rPr>
        <w:t>）项目操作流程做出明确规范。这将推动金融对污染治理和实体经济绿色产业的支持。</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548DD4"/>
          <w:kern w:val="0"/>
          <w:sz w:val="24"/>
          <w:szCs w:val="24"/>
        </w:rPr>
        <w:t>环保投融资现状：需求巨大、投入不足、路径偏差</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近年来我国环保投入总体呈上升趋势。据统计，过去十五年中，我国环保投入占</w:t>
      </w:r>
      <w:r w:rsidRPr="003947AB">
        <w:rPr>
          <w:rFonts w:ascii="微软雅黑" w:eastAsia="微软雅黑" w:hAnsi="微软雅黑" w:cs="Helvetica" w:hint="eastAsia"/>
          <w:color w:val="3E3E3E"/>
          <w:kern w:val="0"/>
          <w:sz w:val="24"/>
          <w:szCs w:val="24"/>
        </w:rPr>
        <w:t>GDP</w:t>
      </w:r>
      <w:r w:rsidRPr="003947AB">
        <w:rPr>
          <w:rFonts w:ascii="宋体" w:eastAsia="宋体" w:hAnsi="宋体" w:cs="Helvetica" w:hint="eastAsia"/>
          <w:color w:val="3E3E3E"/>
          <w:kern w:val="0"/>
          <w:sz w:val="24"/>
          <w:szCs w:val="24"/>
        </w:rPr>
        <w:t>比重从</w:t>
      </w:r>
      <w:r w:rsidRPr="003947AB">
        <w:rPr>
          <w:rFonts w:ascii="微软雅黑" w:eastAsia="微软雅黑" w:hAnsi="微软雅黑" w:cs="Helvetica" w:hint="eastAsia"/>
          <w:color w:val="3E3E3E"/>
          <w:kern w:val="0"/>
          <w:sz w:val="24"/>
          <w:szCs w:val="24"/>
        </w:rPr>
        <w:t>2000</w:t>
      </w:r>
      <w:r w:rsidRPr="003947AB">
        <w:rPr>
          <w:rFonts w:ascii="宋体" w:eastAsia="宋体" w:hAnsi="宋体" w:cs="Helvetica" w:hint="eastAsia"/>
          <w:color w:val="3E3E3E"/>
          <w:kern w:val="0"/>
          <w:sz w:val="24"/>
          <w:szCs w:val="24"/>
        </w:rPr>
        <w:t>年的</w:t>
      </w:r>
      <w:r w:rsidRPr="003947AB">
        <w:rPr>
          <w:rFonts w:ascii="微软雅黑" w:eastAsia="微软雅黑" w:hAnsi="微软雅黑" w:cs="Helvetica" w:hint="eastAsia"/>
          <w:color w:val="3E3E3E"/>
          <w:kern w:val="0"/>
          <w:sz w:val="24"/>
          <w:szCs w:val="24"/>
        </w:rPr>
        <w:t>1.12%</w:t>
      </w:r>
      <w:r w:rsidRPr="003947AB">
        <w:rPr>
          <w:rFonts w:ascii="宋体" w:eastAsia="宋体" w:hAnsi="宋体" w:cs="Helvetica" w:hint="eastAsia"/>
          <w:color w:val="3E3E3E"/>
          <w:kern w:val="0"/>
          <w:sz w:val="24"/>
          <w:szCs w:val="24"/>
        </w:rPr>
        <w:t>增长到</w:t>
      </w:r>
      <w:r w:rsidRPr="003947AB">
        <w:rPr>
          <w:rFonts w:ascii="微软雅黑" w:eastAsia="微软雅黑" w:hAnsi="微软雅黑" w:cs="Helvetica" w:hint="eastAsia"/>
          <w:color w:val="3E3E3E"/>
          <w:kern w:val="0"/>
          <w:sz w:val="24"/>
          <w:szCs w:val="24"/>
        </w:rPr>
        <w:t>2010</w:t>
      </w:r>
      <w:r w:rsidRPr="003947AB">
        <w:rPr>
          <w:rFonts w:ascii="宋体" w:eastAsia="宋体" w:hAnsi="宋体" w:cs="Helvetica" w:hint="eastAsia"/>
          <w:color w:val="3E3E3E"/>
          <w:kern w:val="0"/>
          <w:sz w:val="24"/>
          <w:szCs w:val="24"/>
        </w:rPr>
        <w:t>年的</w:t>
      </w:r>
      <w:r w:rsidRPr="003947AB">
        <w:rPr>
          <w:rFonts w:ascii="微软雅黑" w:eastAsia="微软雅黑" w:hAnsi="微软雅黑" w:cs="Helvetica" w:hint="eastAsia"/>
          <w:color w:val="3E3E3E"/>
          <w:kern w:val="0"/>
          <w:sz w:val="24"/>
          <w:szCs w:val="24"/>
        </w:rPr>
        <w:t>1.90%</w:t>
      </w:r>
      <w:r w:rsidRPr="003947AB">
        <w:rPr>
          <w:rFonts w:ascii="宋体" w:eastAsia="宋体" w:hAnsi="宋体" w:cs="Helvetica" w:hint="eastAsia"/>
          <w:color w:val="3E3E3E"/>
          <w:kern w:val="0"/>
          <w:sz w:val="24"/>
          <w:szCs w:val="24"/>
        </w:rPr>
        <w:t>，在</w:t>
      </w:r>
      <w:r w:rsidRPr="003947AB">
        <w:rPr>
          <w:rFonts w:ascii="微软雅黑" w:eastAsia="微软雅黑" w:hAnsi="微软雅黑" w:cs="Helvetica" w:hint="eastAsia"/>
          <w:color w:val="3E3E3E"/>
          <w:kern w:val="0"/>
          <w:sz w:val="24"/>
          <w:szCs w:val="24"/>
        </w:rPr>
        <w:t>2011</w:t>
      </w:r>
      <w:r w:rsidRPr="003947AB">
        <w:rPr>
          <w:rFonts w:ascii="宋体" w:eastAsia="宋体" w:hAnsi="宋体" w:cs="Helvetica" w:hint="eastAsia"/>
          <w:color w:val="3E3E3E"/>
          <w:kern w:val="0"/>
          <w:sz w:val="24"/>
          <w:szCs w:val="24"/>
        </w:rPr>
        <w:t>年和</w:t>
      </w:r>
      <w:r w:rsidRPr="003947AB">
        <w:rPr>
          <w:rFonts w:ascii="微软雅黑" w:eastAsia="微软雅黑" w:hAnsi="微软雅黑" w:cs="Helvetica" w:hint="eastAsia"/>
          <w:color w:val="3E3E3E"/>
          <w:kern w:val="0"/>
          <w:sz w:val="24"/>
          <w:szCs w:val="24"/>
        </w:rPr>
        <w:t>2012</w:t>
      </w:r>
      <w:r w:rsidRPr="003947AB">
        <w:rPr>
          <w:rFonts w:ascii="宋体" w:eastAsia="宋体" w:hAnsi="宋体" w:cs="Helvetica" w:hint="eastAsia"/>
          <w:color w:val="3E3E3E"/>
          <w:kern w:val="0"/>
          <w:sz w:val="24"/>
          <w:szCs w:val="24"/>
        </w:rPr>
        <w:t>年又稍有回落，总体稳定在</w:t>
      </w:r>
      <w:r w:rsidRPr="003947AB">
        <w:rPr>
          <w:rFonts w:ascii="微软雅黑" w:eastAsia="微软雅黑" w:hAnsi="微软雅黑" w:cs="Helvetica" w:hint="eastAsia"/>
          <w:color w:val="3E3E3E"/>
          <w:kern w:val="0"/>
          <w:sz w:val="24"/>
          <w:szCs w:val="24"/>
        </w:rPr>
        <w:t>1.6%</w:t>
      </w:r>
      <w:r w:rsidRPr="003947AB">
        <w:rPr>
          <w:rFonts w:ascii="宋体" w:eastAsia="宋体" w:hAnsi="宋体" w:cs="Helvetica" w:hint="eastAsia"/>
          <w:color w:val="3E3E3E"/>
          <w:kern w:val="0"/>
          <w:sz w:val="24"/>
          <w:szCs w:val="24"/>
        </w:rPr>
        <w:t>左右。但是与发达国家相比，我国的环保投资统计口径较宽，包含了大环保和节能的范畴，修正后的环保投资占比大致仅在</w:t>
      </w:r>
      <w:r w:rsidRPr="003947AB">
        <w:rPr>
          <w:rFonts w:ascii="微软雅黑" w:eastAsia="微软雅黑" w:hAnsi="微软雅黑" w:cs="Helvetica" w:hint="eastAsia"/>
          <w:color w:val="3E3E3E"/>
          <w:kern w:val="0"/>
          <w:sz w:val="24"/>
          <w:szCs w:val="24"/>
        </w:rPr>
        <w:t>0.9%</w:t>
      </w:r>
      <w:r w:rsidRPr="003947AB">
        <w:rPr>
          <w:rFonts w:ascii="宋体" w:eastAsia="宋体" w:hAnsi="宋体" w:cs="Helvetica" w:hint="eastAsia"/>
          <w:color w:val="3E3E3E"/>
          <w:kern w:val="0"/>
          <w:sz w:val="24"/>
          <w:szCs w:val="24"/>
        </w:rPr>
        <w:t>左右。国际经验表明，经济发展过程中环保投入占</w:t>
      </w:r>
      <w:r w:rsidRPr="003947AB">
        <w:rPr>
          <w:rFonts w:ascii="微软雅黑" w:eastAsia="微软雅黑" w:hAnsi="微软雅黑" w:cs="Helvetica" w:hint="eastAsia"/>
          <w:color w:val="3E3E3E"/>
          <w:kern w:val="0"/>
          <w:sz w:val="24"/>
          <w:szCs w:val="24"/>
        </w:rPr>
        <w:t>GDP</w:t>
      </w:r>
      <w:r w:rsidRPr="003947AB">
        <w:rPr>
          <w:rFonts w:ascii="宋体" w:eastAsia="宋体" w:hAnsi="宋体" w:cs="Helvetica" w:hint="eastAsia"/>
          <w:color w:val="3E3E3E"/>
          <w:kern w:val="0"/>
          <w:sz w:val="24"/>
          <w:szCs w:val="24"/>
        </w:rPr>
        <w:t>的比重达到</w:t>
      </w:r>
      <w:r w:rsidRPr="003947AB">
        <w:rPr>
          <w:rFonts w:ascii="微软雅黑" w:eastAsia="微软雅黑" w:hAnsi="微软雅黑" w:cs="Helvetica" w:hint="eastAsia"/>
          <w:color w:val="3E3E3E"/>
          <w:kern w:val="0"/>
          <w:sz w:val="24"/>
          <w:szCs w:val="24"/>
        </w:rPr>
        <w:t>1.5%</w:t>
      </w:r>
      <w:r w:rsidRPr="003947AB">
        <w:rPr>
          <w:rFonts w:ascii="宋体" w:eastAsia="宋体" w:hAnsi="宋体" w:cs="Helvetica" w:hint="eastAsia"/>
          <w:color w:val="3E3E3E"/>
          <w:kern w:val="0"/>
          <w:sz w:val="24"/>
          <w:szCs w:val="24"/>
        </w:rPr>
        <w:lastRenderedPageBreak/>
        <w:t>才能阻止环境恶化，达到</w:t>
      </w:r>
      <w:r w:rsidRPr="003947AB">
        <w:rPr>
          <w:rFonts w:ascii="微软雅黑" w:eastAsia="微软雅黑" w:hAnsi="微软雅黑" w:cs="Helvetica" w:hint="eastAsia"/>
          <w:color w:val="3E3E3E"/>
          <w:kern w:val="0"/>
          <w:sz w:val="24"/>
          <w:szCs w:val="24"/>
        </w:rPr>
        <w:t>2%-3%</w:t>
      </w:r>
      <w:r w:rsidRPr="003947AB">
        <w:rPr>
          <w:rFonts w:ascii="宋体" w:eastAsia="宋体" w:hAnsi="宋体" w:cs="Helvetica" w:hint="eastAsia"/>
          <w:color w:val="3E3E3E"/>
          <w:kern w:val="0"/>
          <w:sz w:val="24"/>
          <w:szCs w:val="24"/>
        </w:rPr>
        <w:t>才能真正改善环境。目前，发达国家环保投入占</w:t>
      </w:r>
      <w:r w:rsidRPr="003947AB">
        <w:rPr>
          <w:rFonts w:ascii="微软雅黑" w:eastAsia="微软雅黑" w:hAnsi="微软雅黑" w:cs="Helvetica" w:hint="eastAsia"/>
          <w:color w:val="3E3E3E"/>
          <w:kern w:val="0"/>
          <w:sz w:val="24"/>
          <w:szCs w:val="24"/>
        </w:rPr>
        <w:t xml:space="preserve">GDP </w:t>
      </w:r>
      <w:r w:rsidRPr="003947AB">
        <w:rPr>
          <w:rFonts w:ascii="宋体" w:eastAsia="宋体" w:hAnsi="宋体" w:cs="Helvetica" w:hint="eastAsia"/>
          <w:color w:val="3E3E3E"/>
          <w:kern w:val="0"/>
          <w:sz w:val="24"/>
          <w:szCs w:val="24"/>
        </w:rPr>
        <w:t>比重高于</w:t>
      </w:r>
      <w:r w:rsidRPr="003947AB">
        <w:rPr>
          <w:rFonts w:ascii="微软雅黑" w:eastAsia="微软雅黑" w:hAnsi="微软雅黑" w:cs="Helvetica" w:hint="eastAsia"/>
          <w:color w:val="3E3E3E"/>
          <w:kern w:val="0"/>
          <w:sz w:val="24"/>
          <w:szCs w:val="24"/>
        </w:rPr>
        <w:t>2%</w:t>
      </w:r>
      <w:r w:rsidRPr="003947AB">
        <w:rPr>
          <w:rFonts w:ascii="宋体" w:eastAsia="宋体" w:hAnsi="宋体" w:cs="Helvetica" w:hint="eastAsia"/>
          <w:color w:val="3E3E3E"/>
          <w:kern w:val="0"/>
          <w:sz w:val="24"/>
          <w:szCs w:val="24"/>
        </w:rPr>
        <w:t>是常态，在其投资高峰期占比更高（日本</w:t>
      </w:r>
      <w:r w:rsidRPr="003947AB">
        <w:rPr>
          <w:rFonts w:ascii="微软雅黑" w:eastAsia="微软雅黑" w:hAnsi="微软雅黑" w:cs="Helvetica" w:hint="eastAsia"/>
          <w:color w:val="3E3E3E"/>
          <w:kern w:val="0"/>
          <w:sz w:val="24"/>
          <w:szCs w:val="24"/>
        </w:rPr>
        <w:t xml:space="preserve">70 </w:t>
      </w:r>
      <w:r w:rsidRPr="003947AB">
        <w:rPr>
          <w:rFonts w:ascii="宋体" w:eastAsia="宋体" w:hAnsi="宋体" w:cs="Helvetica" w:hint="eastAsia"/>
          <w:color w:val="3E3E3E"/>
          <w:kern w:val="0"/>
          <w:sz w:val="24"/>
          <w:szCs w:val="24"/>
        </w:rPr>
        <w:t>年代民间用于防止公害投资占全部设备投资均在</w:t>
      </w:r>
      <w:r w:rsidRPr="003947AB">
        <w:rPr>
          <w:rFonts w:ascii="微软雅黑" w:eastAsia="微软雅黑" w:hAnsi="微软雅黑" w:cs="Helvetica" w:hint="eastAsia"/>
          <w:color w:val="3E3E3E"/>
          <w:kern w:val="0"/>
          <w:sz w:val="24"/>
          <w:szCs w:val="24"/>
        </w:rPr>
        <w:t>5%</w:t>
      </w:r>
      <w:r w:rsidRPr="003947AB">
        <w:rPr>
          <w:rFonts w:ascii="宋体" w:eastAsia="宋体" w:hAnsi="宋体" w:cs="Helvetica" w:hint="eastAsia"/>
          <w:color w:val="3E3E3E"/>
          <w:kern w:val="0"/>
          <w:sz w:val="24"/>
          <w:szCs w:val="24"/>
        </w:rPr>
        <w:t>以上，最高达</w:t>
      </w:r>
      <w:r w:rsidRPr="003947AB">
        <w:rPr>
          <w:rFonts w:ascii="微软雅黑" w:eastAsia="微软雅黑" w:hAnsi="微软雅黑" w:cs="Helvetica" w:hint="eastAsia"/>
          <w:color w:val="3E3E3E"/>
          <w:kern w:val="0"/>
          <w:sz w:val="24"/>
          <w:szCs w:val="24"/>
        </w:rPr>
        <w:t>18%</w:t>
      </w:r>
      <w:r w:rsidRPr="003947AB">
        <w:rPr>
          <w:rFonts w:ascii="宋体" w:eastAsia="宋体" w:hAnsi="宋体" w:cs="Helvetica" w:hint="eastAsia"/>
          <w:color w:val="3E3E3E"/>
          <w:kern w:val="0"/>
          <w:sz w:val="24"/>
          <w:szCs w:val="24"/>
        </w:rPr>
        <w:t>），且投资高峰一般可持续</w:t>
      </w:r>
      <w:r w:rsidRPr="003947AB">
        <w:rPr>
          <w:rFonts w:ascii="微软雅黑" w:eastAsia="微软雅黑" w:hAnsi="微软雅黑" w:cs="Helvetica" w:hint="eastAsia"/>
          <w:color w:val="3E3E3E"/>
          <w:kern w:val="0"/>
          <w:sz w:val="24"/>
          <w:szCs w:val="24"/>
        </w:rPr>
        <w:t xml:space="preserve">10 </w:t>
      </w:r>
      <w:r w:rsidRPr="003947AB">
        <w:rPr>
          <w:rFonts w:ascii="宋体" w:eastAsia="宋体" w:hAnsi="宋体" w:cs="Helvetica" w:hint="eastAsia"/>
          <w:color w:val="3E3E3E"/>
          <w:kern w:val="0"/>
          <w:sz w:val="24"/>
          <w:szCs w:val="24"/>
        </w:rPr>
        <w:t>年左右。</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根据环境库兹涅兹曲线理论，一个国家或地区的环境污染水平与经济增长的关系呈现先升后降的“倒</w:t>
      </w:r>
      <w:r w:rsidRPr="003947AB">
        <w:rPr>
          <w:rFonts w:ascii="微软雅黑" w:eastAsia="微软雅黑" w:hAnsi="微软雅黑" w:cs="Helvetica" w:hint="eastAsia"/>
          <w:color w:val="3E3E3E"/>
          <w:kern w:val="0"/>
          <w:sz w:val="24"/>
          <w:szCs w:val="24"/>
        </w:rPr>
        <w:t>U</w:t>
      </w:r>
      <w:r w:rsidRPr="003947AB">
        <w:rPr>
          <w:rFonts w:ascii="宋体" w:eastAsia="宋体" w:hAnsi="宋体" w:cs="Helvetica" w:hint="eastAsia"/>
          <w:color w:val="3E3E3E"/>
          <w:kern w:val="0"/>
          <w:sz w:val="24"/>
          <w:szCs w:val="24"/>
        </w:rPr>
        <w:t>型”曲线。而我国仍然处在库兹涅兹曲线与环保投入曲线双上升的阶段，工业化和城市化驱动下污染水平与环保投入双双上升的局面短期内无法避免。我国仍需加大环保投入来遏制环境污染上升的趋势，国内专家呼吁未来十年应力争使环保投入占</w:t>
      </w:r>
      <w:r w:rsidRPr="003947AB">
        <w:rPr>
          <w:rFonts w:ascii="微软雅黑" w:eastAsia="微软雅黑" w:hAnsi="微软雅黑" w:cs="Helvetica" w:hint="eastAsia"/>
          <w:color w:val="3E3E3E"/>
          <w:kern w:val="0"/>
          <w:sz w:val="24"/>
          <w:szCs w:val="24"/>
        </w:rPr>
        <w:t>GDP</w:t>
      </w:r>
      <w:r w:rsidRPr="003947AB">
        <w:rPr>
          <w:rFonts w:ascii="宋体" w:eastAsia="宋体" w:hAnsi="宋体" w:cs="Helvetica" w:hint="eastAsia"/>
          <w:color w:val="3E3E3E"/>
          <w:kern w:val="0"/>
          <w:sz w:val="24"/>
          <w:szCs w:val="24"/>
        </w:rPr>
        <w:t>的比重达到</w:t>
      </w:r>
      <w:r w:rsidRPr="003947AB">
        <w:rPr>
          <w:rFonts w:ascii="微软雅黑" w:eastAsia="微软雅黑" w:hAnsi="微软雅黑" w:cs="Helvetica" w:hint="eastAsia"/>
          <w:color w:val="3E3E3E"/>
          <w:kern w:val="0"/>
          <w:sz w:val="24"/>
          <w:szCs w:val="24"/>
        </w:rPr>
        <w:t>3%</w:t>
      </w:r>
      <w:r w:rsidRPr="003947AB">
        <w:rPr>
          <w:rFonts w:ascii="宋体" w:eastAsia="宋体" w:hAnsi="宋体" w:cs="Helvetica" w:hint="eastAsia"/>
          <w:color w:val="3E3E3E"/>
          <w:kern w:val="0"/>
          <w:sz w:val="24"/>
          <w:szCs w:val="24"/>
        </w:rPr>
        <w:t>。</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投资需求巨大，转型迫在眉睫。以低碳产业为例，“十二五”期间，中国低碳发展投资总额为</w:t>
      </w:r>
      <w:r w:rsidRPr="003947AB">
        <w:rPr>
          <w:rFonts w:ascii="微软雅黑" w:eastAsia="微软雅黑" w:hAnsi="微软雅黑" w:cs="Helvetica" w:hint="eastAsia"/>
          <w:color w:val="3E3E3E"/>
          <w:kern w:val="0"/>
          <w:sz w:val="24"/>
          <w:szCs w:val="24"/>
        </w:rPr>
        <w:t>41550</w:t>
      </w:r>
      <w:r w:rsidRPr="003947AB">
        <w:rPr>
          <w:rFonts w:ascii="宋体" w:eastAsia="宋体" w:hAnsi="宋体" w:cs="Helvetica" w:hint="eastAsia"/>
          <w:color w:val="3E3E3E"/>
          <w:kern w:val="0"/>
          <w:sz w:val="24"/>
          <w:szCs w:val="24"/>
        </w:rPr>
        <w:t>亿元，其中二氧化碳减排投资为</w:t>
      </w:r>
      <w:r w:rsidRPr="003947AB">
        <w:rPr>
          <w:rFonts w:ascii="微软雅黑" w:eastAsia="微软雅黑" w:hAnsi="微软雅黑" w:cs="Helvetica" w:hint="eastAsia"/>
          <w:color w:val="3E3E3E"/>
          <w:kern w:val="0"/>
          <w:sz w:val="24"/>
          <w:szCs w:val="24"/>
        </w:rPr>
        <w:t>36330</w:t>
      </w:r>
      <w:r w:rsidRPr="003947AB">
        <w:rPr>
          <w:rFonts w:ascii="宋体" w:eastAsia="宋体" w:hAnsi="宋体" w:cs="Helvetica" w:hint="eastAsia"/>
          <w:color w:val="3E3E3E"/>
          <w:kern w:val="0"/>
          <w:sz w:val="24"/>
          <w:szCs w:val="24"/>
        </w:rPr>
        <w:t>亿元，森林碳汇投资为</w:t>
      </w:r>
      <w:r w:rsidRPr="003947AB">
        <w:rPr>
          <w:rFonts w:ascii="微软雅黑" w:eastAsia="微软雅黑" w:hAnsi="微软雅黑" w:cs="Helvetica" w:hint="eastAsia"/>
          <w:color w:val="3E3E3E"/>
          <w:kern w:val="0"/>
          <w:sz w:val="24"/>
          <w:szCs w:val="24"/>
        </w:rPr>
        <w:t>5220</w:t>
      </w:r>
      <w:r w:rsidRPr="003947AB">
        <w:rPr>
          <w:rFonts w:ascii="宋体" w:eastAsia="宋体" w:hAnsi="宋体" w:cs="Helvetica" w:hint="eastAsia"/>
          <w:color w:val="3E3E3E"/>
          <w:kern w:val="0"/>
          <w:sz w:val="24"/>
          <w:szCs w:val="24"/>
        </w:rPr>
        <w:t>亿元。</w:t>
      </w:r>
      <w:r w:rsidRPr="003947AB">
        <w:rPr>
          <w:rFonts w:ascii="宋体" w:eastAsia="宋体" w:hAnsi="宋体" w:cs="Helvetica" w:hint="eastAsia"/>
          <w:color w:val="548DD4"/>
          <w:kern w:val="0"/>
          <w:sz w:val="24"/>
          <w:szCs w:val="24"/>
        </w:rPr>
        <w:t>根据国家相关规划，“十三五”期间中国低碳发展投资总额将达到</w:t>
      </w:r>
      <w:r w:rsidRPr="003947AB">
        <w:rPr>
          <w:rFonts w:ascii="微软雅黑" w:eastAsia="微软雅黑" w:hAnsi="微软雅黑" w:cs="Helvetica" w:hint="eastAsia"/>
          <w:color w:val="548DD4"/>
          <w:kern w:val="0"/>
          <w:sz w:val="24"/>
          <w:szCs w:val="24"/>
        </w:rPr>
        <w:t>65070</w:t>
      </w:r>
      <w:r w:rsidRPr="003947AB">
        <w:rPr>
          <w:rFonts w:ascii="宋体" w:eastAsia="宋体" w:hAnsi="宋体" w:cs="Helvetica" w:hint="eastAsia"/>
          <w:color w:val="548DD4"/>
          <w:kern w:val="0"/>
          <w:sz w:val="24"/>
          <w:szCs w:val="24"/>
        </w:rPr>
        <w:t>亿元，用于二氧化碳减排和森林碳汇投资的数额分别将达到</w:t>
      </w:r>
      <w:r w:rsidRPr="003947AB">
        <w:rPr>
          <w:rFonts w:ascii="微软雅黑" w:eastAsia="微软雅黑" w:hAnsi="微软雅黑" w:cs="Helvetica" w:hint="eastAsia"/>
          <w:color w:val="548DD4"/>
          <w:kern w:val="0"/>
          <w:sz w:val="24"/>
          <w:szCs w:val="24"/>
        </w:rPr>
        <w:t>50410</w:t>
      </w:r>
      <w:r w:rsidRPr="003947AB">
        <w:rPr>
          <w:rFonts w:ascii="宋体" w:eastAsia="宋体" w:hAnsi="宋体" w:cs="Helvetica" w:hint="eastAsia"/>
          <w:color w:val="548DD4"/>
          <w:kern w:val="0"/>
          <w:sz w:val="24"/>
          <w:szCs w:val="24"/>
        </w:rPr>
        <w:t>亿元和</w:t>
      </w:r>
      <w:r w:rsidRPr="003947AB">
        <w:rPr>
          <w:rFonts w:ascii="微软雅黑" w:eastAsia="微软雅黑" w:hAnsi="微软雅黑" w:cs="Helvetica" w:hint="eastAsia"/>
          <w:color w:val="548DD4"/>
          <w:kern w:val="0"/>
          <w:sz w:val="24"/>
          <w:szCs w:val="24"/>
        </w:rPr>
        <w:t>14660</w:t>
      </w:r>
      <w:r w:rsidRPr="003947AB">
        <w:rPr>
          <w:rFonts w:ascii="宋体" w:eastAsia="宋体" w:hAnsi="宋体" w:cs="Helvetica" w:hint="eastAsia"/>
          <w:color w:val="548DD4"/>
          <w:kern w:val="0"/>
          <w:sz w:val="24"/>
          <w:szCs w:val="24"/>
        </w:rPr>
        <w:t>亿元</w:t>
      </w:r>
      <w:r w:rsidRPr="003947AB">
        <w:rPr>
          <w:rFonts w:ascii="宋体" w:eastAsia="宋体" w:hAnsi="宋体" w:cs="Helvetica" w:hint="eastAsia"/>
          <w:color w:val="3E3E3E"/>
          <w:kern w:val="0"/>
          <w:sz w:val="24"/>
          <w:szCs w:val="24"/>
        </w:rPr>
        <w:t>。但当下中国正处于改革与经济转型的关键期，新常态下经济增速明显下降，财政收入减少伴随着环保支出需求的增加，一降一升之间，使得改变现有财政主导扶持的行业投融资体制迫在眉睫。</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投资路径偏差，谋求与社会投资对接。当前我国环保投资主要是由财政资金直接与相关企业“点对点”对接，这种方式虽然在一开始看来是提高了投资效率，但一方面制约了投资规模，反过来又加剧了行业投资对财政资金的依赖程度。这种资金投入路径的偏差还易造成财政资金使用的低效率。具体表现在部分领域部分行业盲目追求速度和短期效益，忽视产业健康发展，甚至在某些领域出现投资过剩、产能过剩的情况。</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除此之外，在环保财政资金运用的过程中，政府主管部门既是政策执行者，又是政策效果评价者，多重身份的叠加使得资金使用的规划和考核的效果大打折扣。因此，当务之急是充分调动金融机构的投资意愿，实现环保资金需求与整个社会投融资能力和意愿的对接</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548DD4"/>
          <w:kern w:val="0"/>
          <w:sz w:val="24"/>
          <w:szCs w:val="24"/>
        </w:rPr>
        <w:t>绿色金融四大抓手：绿色信贷、环责险、产业投资基金、开发性金融</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政策利好，环保业进入景气周期。近年来，国家密集出台了多项环保政策和法规，一方面给出了国家环保投资规划的相关数额，展示了国家扶持的力度和决心；另一方面，环保标准的趋严增加了企业环境污染成本，进一步刺激了社会环保需求。加之我国环保投入占</w:t>
      </w:r>
      <w:r w:rsidRPr="003947AB">
        <w:rPr>
          <w:rFonts w:ascii="微软雅黑" w:eastAsia="微软雅黑" w:hAnsi="微软雅黑" w:cs="Helvetica" w:hint="eastAsia"/>
          <w:color w:val="3E3E3E"/>
          <w:kern w:val="0"/>
          <w:sz w:val="24"/>
          <w:szCs w:val="24"/>
        </w:rPr>
        <w:t>GDP</w:t>
      </w:r>
      <w:r w:rsidRPr="003947AB">
        <w:rPr>
          <w:rFonts w:ascii="宋体" w:eastAsia="宋体" w:hAnsi="宋体" w:cs="Helvetica" w:hint="eastAsia"/>
          <w:color w:val="3E3E3E"/>
          <w:kern w:val="0"/>
          <w:sz w:val="24"/>
          <w:szCs w:val="24"/>
        </w:rPr>
        <w:t>的比重相对较低，未来环保投入有望持续提升。研究认为，在到达环境菲利普斯曲线和环保投入曲线的拐点之前，我国环保业将引来近十年的景气周期。而无论是环境保护基础设施类资产所呈现的安全稳定的反周期特征，还是处于成长期的环保产业发展前景，都对资本产生了较强的吸引力。</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绿色信贷，加速推进低碳金融。绿色信贷指商业银行在贷款时，注重资源消耗和环境保护，追求贷款生态效益，促进生态建设和经济可持续协调发展的一种融资方式。一方面通过规避环境风险，降低金融风险，促进银行信贷业务的健康发展；另一方面，减少或停止对高污染、高能耗企业或项目的资金投放，使企业污染环境的成本内部化，自然淘汰落后产能，追求经济效益与环境效益的统一。</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自</w:t>
      </w:r>
      <w:r w:rsidRPr="003947AB">
        <w:rPr>
          <w:rFonts w:ascii="微软雅黑" w:eastAsia="微软雅黑" w:hAnsi="微软雅黑" w:cs="Helvetica" w:hint="eastAsia"/>
          <w:color w:val="3E3E3E"/>
          <w:kern w:val="0"/>
          <w:sz w:val="24"/>
          <w:szCs w:val="24"/>
        </w:rPr>
        <w:t>2007</w:t>
      </w:r>
      <w:r w:rsidRPr="003947AB">
        <w:rPr>
          <w:rFonts w:ascii="宋体" w:eastAsia="宋体" w:hAnsi="宋体" w:cs="Helvetica" w:hint="eastAsia"/>
          <w:color w:val="3E3E3E"/>
          <w:kern w:val="0"/>
          <w:sz w:val="24"/>
          <w:szCs w:val="24"/>
        </w:rPr>
        <w:t>年推出绿色信贷以来，由于缺乏相应的监督和激励机制，绿色信贷政策上的强制性和执行过程中的自愿性很大程度上影响了商业银行的积极性。除此之外，银行业内部的激烈竞争也使商业银行承担了较大的利润压力，因而对部分投资期限长、未来收益不明显的环保标的缺乏投资的热情。而在环境领域专业的第三方评估人才与服务的缺失更是影响到绿色信贷的可执行性。另外，由于信息披露方面的不足，社会对各银行内部绿色信贷的执行标准也并不了解。</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考虑到银行信贷在我国投融资领域的主导地位，完善绿色信贷监督和激励机制，建立合理的相关信息披露制度，将绿色信贷与绩效考核挂钩，并推动专业的环境风险评估团队发展等十分必要。</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环责险试点推广，建立环境风险管理长效机制。环境责任保险，是以企业发生污染事故对第三者造成的损害依法应承担的赔偿责任为标的的保险。作为一种在国际上被广泛采用的风险管理手段，环境责任保险的发展对于正处于环境事故高发期的中国意义重大。</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经历了长时期的粗放型发展，环境风险广泛存在于部分行业的生产环节中，仅靠行政监管难以有效预防。而保险公司作为专业的风险管理机构，出于减少赔付风险的目标，将建立长期并高效的环境风险评估和监督机制，形成对投保企业的动态监督，作为行政监管的重要补充。另外，环境责任保险有助于完善我国的环境污染赔偿机制，通过保险工具控制和分散企业风险，使污染受害者能够得到及时赔付，并有效减少政府在环境事故处理中的支出负担。企业通过定期缴纳保费的方式降低经营风险，也有利于保障银行信贷安全，促进经济的健康运行。</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产业投资基金，挖掘社会投资需求。由于环境设施投资具有资本沉淀性强、期限长和收益相对稳定的特点，因此需要大量国家政策性资金牵头支持，引导具有稳健投资偏好的社保基金、养老基金等加入，同时吸引公益性资金参与。</w:t>
      </w:r>
      <w:r w:rsidRPr="003947AB">
        <w:rPr>
          <w:rFonts w:ascii="微软雅黑" w:eastAsia="微软雅黑" w:hAnsi="微软雅黑" w:cs="Helvetica" w:hint="eastAsia"/>
          <w:color w:val="3E3E3E"/>
          <w:kern w:val="0"/>
          <w:sz w:val="24"/>
          <w:szCs w:val="24"/>
        </w:rPr>
        <w:t>2010</w:t>
      </w:r>
      <w:r w:rsidRPr="003947AB">
        <w:rPr>
          <w:rFonts w:ascii="宋体" w:eastAsia="宋体" w:hAnsi="宋体" w:cs="Helvetica" w:hint="eastAsia"/>
          <w:color w:val="3E3E3E"/>
          <w:kern w:val="0"/>
          <w:sz w:val="24"/>
          <w:szCs w:val="24"/>
        </w:rPr>
        <w:t>年以来，各地相继成立多个环保产业基金，由政府或大型企业牵头，资金规模超过千亿元，可以预见将对我国环保领域产生深远影响。</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除此之外，鉴于对环保产业的良好预期，私募股权基金也逐渐进入环保产业投资领域。根据亚洲私募股权基金研究中心的数据，</w:t>
      </w:r>
      <w:r w:rsidRPr="003947AB">
        <w:rPr>
          <w:rFonts w:ascii="微软雅黑" w:eastAsia="微软雅黑" w:hAnsi="微软雅黑" w:cs="Helvetica" w:hint="eastAsia"/>
          <w:color w:val="3E3E3E"/>
          <w:kern w:val="0"/>
          <w:sz w:val="24"/>
          <w:szCs w:val="24"/>
        </w:rPr>
        <w:t>2013</w:t>
      </w:r>
      <w:r w:rsidRPr="003947AB">
        <w:rPr>
          <w:rFonts w:ascii="宋体" w:eastAsia="宋体" w:hAnsi="宋体" w:cs="Helvetica" w:hint="eastAsia"/>
          <w:color w:val="3E3E3E"/>
          <w:kern w:val="0"/>
          <w:sz w:val="24"/>
          <w:szCs w:val="24"/>
        </w:rPr>
        <w:t>年私募股权公司对中国环保相关业务的投资总额达到</w:t>
      </w:r>
      <w:r w:rsidRPr="003947AB">
        <w:rPr>
          <w:rFonts w:ascii="微软雅黑" w:eastAsia="微软雅黑" w:hAnsi="微软雅黑" w:cs="Helvetica" w:hint="eastAsia"/>
          <w:color w:val="3E3E3E"/>
          <w:kern w:val="0"/>
          <w:sz w:val="24"/>
          <w:szCs w:val="24"/>
        </w:rPr>
        <w:t>12</w:t>
      </w:r>
      <w:r w:rsidRPr="003947AB">
        <w:rPr>
          <w:rFonts w:ascii="宋体" w:eastAsia="宋体" w:hAnsi="宋体" w:cs="Helvetica" w:hint="eastAsia"/>
          <w:color w:val="3E3E3E"/>
          <w:kern w:val="0"/>
          <w:sz w:val="24"/>
          <w:szCs w:val="24"/>
        </w:rPr>
        <w:t>亿美元，创纪录地占到中国私募投资总额的</w:t>
      </w:r>
      <w:r w:rsidRPr="003947AB">
        <w:rPr>
          <w:rFonts w:ascii="微软雅黑" w:eastAsia="微软雅黑" w:hAnsi="微软雅黑" w:cs="Helvetica" w:hint="eastAsia"/>
          <w:color w:val="3E3E3E"/>
          <w:kern w:val="0"/>
          <w:sz w:val="24"/>
          <w:szCs w:val="24"/>
        </w:rPr>
        <w:t>7%</w:t>
      </w:r>
      <w:r w:rsidRPr="003947AB">
        <w:rPr>
          <w:rFonts w:ascii="宋体" w:eastAsia="宋体" w:hAnsi="宋体" w:cs="Helvetica" w:hint="eastAsia"/>
          <w:color w:val="3E3E3E"/>
          <w:kern w:val="0"/>
          <w:sz w:val="24"/>
          <w:szCs w:val="24"/>
        </w:rPr>
        <w:t>。</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可以预见，随着社会对环境问题的关注度的增加以及环保产业的健康发展，社会资本将越来越深入地介入环保产业投资，推动我国经济转型和生态文明建设。</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开拓投融资新渠道，开发性金融承担社会责任。与环保产业投资相比，环境基础设施建设投资更多地呈现出公共品特征，除了投资期限长以外，其较强的外部性和非排他性导致项目投资收益并不明显。传统的投资方式无疑不适用于这种情况，开展金融创新势在必行。本文重点介绍两种模式：</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一是</w:t>
      </w:r>
      <w:r w:rsidRPr="003947AB">
        <w:rPr>
          <w:rFonts w:ascii="微软雅黑" w:eastAsia="微软雅黑" w:hAnsi="微软雅黑" w:cs="Helvetica" w:hint="eastAsia"/>
          <w:color w:val="3E3E3E"/>
          <w:kern w:val="0"/>
          <w:sz w:val="24"/>
          <w:szCs w:val="24"/>
        </w:rPr>
        <w:t>PPP</w:t>
      </w:r>
      <w:r w:rsidRPr="003947AB">
        <w:rPr>
          <w:rFonts w:ascii="宋体" w:eastAsia="宋体" w:hAnsi="宋体" w:cs="Helvetica" w:hint="eastAsia"/>
          <w:color w:val="3E3E3E"/>
          <w:kern w:val="0"/>
          <w:sz w:val="24"/>
          <w:szCs w:val="24"/>
        </w:rPr>
        <w:t>模式。我们已经意识到，治理环境问题仅仅依靠政府的模式无法长久持续，需要将政府干预与市场机制有机结合，</w:t>
      </w:r>
      <w:r w:rsidRPr="003947AB">
        <w:rPr>
          <w:rFonts w:ascii="微软雅黑" w:eastAsia="微软雅黑" w:hAnsi="微软雅黑" w:cs="Helvetica" w:hint="eastAsia"/>
          <w:color w:val="3E3E3E"/>
          <w:kern w:val="0"/>
          <w:sz w:val="24"/>
          <w:szCs w:val="24"/>
        </w:rPr>
        <w:t>PPP</w:t>
      </w:r>
      <w:r w:rsidRPr="003947AB">
        <w:rPr>
          <w:rFonts w:ascii="宋体" w:eastAsia="宋体" w:hAnsi="宋体" w:cs="Helvetica" w:hint="eastAsia"/>
          <w:color w:val="3E3E3E"/>
          <w:kern w:val="0"/>
          <w:sz w:val="24"/>
          <w:szCs w:val="24"/>
        </w:rPr>
        <w:t>（</w:t>
      </w:r>
      <w:r w:rsidRPr="003947AB">
        <w:rPr>
          <w:rFonts w:ascii="微软雅黑" w:eastAsia="微软雅黑" w:hAnsi="微软雅黑" w:cs="Helvetica" w:hint="eastAsia"/>
          <w:color w:val="3E3E3E"/>
          <w:kern w:val="0"/>
          <w:sz w:val="24"/>
          <w:szCs w:val="24"/>
        </w:rPr>
        <w:t>Public-Private-Partnership</w:t>
      </w:r>
      <w:r w:rsidRPr="003947AB">
        <w:rPr>
          <w:rFonts w:ascii="宋体" w:eastAsia="宋体" w:hAnsi="宋体" w:cs="Helvetica" w:hint="eastAsia"/>
          <w:color w:val="3E3E3E"/>
          <w:kern w:val="0"/>
          <w:sz w:val="24"/>
          <w:szCs w:val="24"/>
        </w:rPr>
        <w:t>，即“公共部门</w:t>
      </w:r>
      <w:r w:rsidRPr="003947AB">
        <w:rPr>
          <w:rFonts w:ascii="微软雅黑" w:eastAsia="微软雅黑" w:hAnsi="微软雅黑" w:cs="Helvetica" w:hint="eastAsia"/>
          <w:color w:val="3E3E3E"/>
          <w:kern w:val="0"/>
          <w:sz w:val="24"/>
          <w:szCs w:val="24"/>
        </w:rPr>
        <w:t>-</w:t>
      </w:r>
      <w:r w:rsidRPr="003947AB">
        <w:rPr>
          <w:rFonts w:ascii="宋体" w:eastAsia="宋体" w:hAnsi="宋体" w:cs="Helvetica" w:hint="eastAsia"/>
          <w:color w:val="3E3E3E"/>
          <w:kern w:val="0"/>
          <w:sz w:val="24"/>
          <w:szCs w:val="24"/>
        </w:rPr>
        <w:t>私人企业</w:t>
      </w:r>
      <w:r w:rsidRPr="003947AB">
        <w:rPr>
          <w:rFonts w:ascii="微软雅黑" w:eastAsia="微软雅黑" w:hAnsi="微软雅黑" w:cs="Helvetica" w:hint="eastAsia"/>
          <w:color w:val="3E3E3E"/>
          <w:kern w:val="0"/>
          <w:sz w:val="24"/>
          <w:szCs w:val="24"/>
        </w:rPr>
        <w:t>-</w:t>
      </w:r>
      <w:r w:rsidRPr="003947AB">
        <w:rPr>
          <w:rFonts w:ascii="宋体" w:eastAsia="宋体" w:hAnsi="宋体" w:cs="Helvetica" w:hint="eastAsia"/>
          <w:color w:val="3E3E3E"/>
          <w:kern w:val="0"/>
          <w:sz w:val="24"/>
          <w:szCs w:val="24"/>
        </w:rPr>
        <w:t>合作”的模式）作为一种新型的项目融资方式在我国有着巨大的应用前景。其典型结构是公共部门与中标单位组成的</w:t>
      </w:r>
      <w:r w:rsidRPr="003947AB">
        <w:rPr>
          <w:rFonts w:ascii="微软雅黑" w:eastAsia="微软雅黑" w:hAnsi="微软雅黑" w:cs="Helvetica" w:hint="eastAsia"/>
          <w:color w:val="3E3E3E"/>
          <w:kern w:val="0"/>
          <w:sz w:val="24"/>
          <w:szCs w:val="24"/>
        </w:rPr>
        <w:t>SPV</w:t>
      </w:r>
      <w:r w:rsidRPr="003947AB">
        <w:rPr>
          <w:rFonts w:ascii="宋体" w:eastAsia="宋体" w:hAnsi="宋体" w:cs="Helvetica" w:hint="eastAsia"/>
          <w:color w:val="3E3E3E"/>
          <w:kern w:val="0"/>
          <w:sz w:val="24"/>
          <w:szCs w:val="24"/>
        </w:rPr>
        <w:t>（特殊目的公司）签订特许合同，由</w:t>
      </w:r>
      <w:r w:rsidRPr="003947AB">
        <w:rPr>
          <w:rFonts w:ascii="微软雅黑" w:eastAsia="微软雅黑" w:hAnsi="微软雅黑" w:cs="Helvetica" w:hint="eastAsia"/>
          <w:color w:val="3E3E3E"/>
          <w:kern w:val="0"/>
          <w:sz w:val="24"/>
          <w:szCs w:val="24"/>
        </w:rPr>
        <w:t>SPV</w:t>
      </w:r>
      <w:r w:rsidRPr="003947AB">
        <w:rPr>
          <w:rFonts w:ascii="宋体" w:eastAsia="宋体" w:hAnsi="宋体" w:cs="Helvetica" w:hint="eastAsia"/>
          <w:color w:val="3E3E3E"/>
          <w:kern w:val="0"/>
          <w:sz w:val="24"/>
          <w:szCs w:val="24"/>
        </w:rPr>
        <w:t>负责融资、建设及经营。而政府通过与信贷机构达成直接协议，承诺将按与</w:t>
      </w:r>
      <w:r w:rsidRPr="003947AB">
        <w:rPr>
          <w:rFonts w:ascii="微软雅黑" w:eastAsia="微软雅黑" w:hAnsi="微软雅黑" w:cs="Helvetica" w:hint="eastAsia"/>
          <w:color w:val="3E3E3E"/>
          <w:kern w:val="0"/>
          <w:sz w:val="24"/>
          <w:szCs w:val="24"/>
        </w:rPr>
        <w:t>SPV</w:t>
      </w:r>
      <w:r w:rsidRPr="003947AB">
        <w:rPr>
          <w:rFonts w:ascii="宋体" w:eastAsia="宋体" w:hAnsi="宋体" w:cs="Helvetica" w:hint="eastAsia"/>
          <w:color w:val="3E3E3E"/>
          <w:kern w:val="0"/>
          <w:sz w:val="24"/>
          <w:szCs w:val="24"/>
        </w:rPr>
        <w:t>签定的合同支付有关费用</w:t>
      </w:r>
      <w:r w:rsidRPr="003947AB">
        <w:rPr>
          <w:rFonts w:ascii="微软雅黑" w:eastAsia="微软雅黑" w:hAnsi="微软雅黑" w:cs="Helvetica" w:hint="eastAsia"/>
          <w:color w:val="3E3E3E"/>
          <w:kern w:val="0"/>
          <w:sz w:val="24"/>
          <w:szCs w:val="24"/>
        </w:rPr>
        <w:t>,</w:t>
      </w:r>
      <w:r w:rsidRPr="003947AB">
        <w:rPr>
          <w:rFonts w:ascii="宋体" w:eastAsia="宋体" w:hAnsi="宋体" w:cs="Helvetica" w:hint="eastAsia"/>
          <w:color w:val="3E3E3E"/>
          <w:kern w:val="0"/>
          <w:sz w:val="24"/>
          <w:szCs w:val="24"/>
        </w:rPr>
        <w:t>帮助</w:t>
      </w:r>
      <w:r w:rsidRPr="003947AB">
        <w:rPr>
          <w:rFonts w:ascii="微软雅黑" w:eastAsia="微软雅黑" w:hAnsi="微软雅黑" w:cs="Helvetica" w:hint="eastAsia"/>
          <w:color w:val="3E3E3E"/>
          <w:kern w:val="0"/>
          <w:sz w:val="24"/>
          <w:szCs w:val="24"/>
        </w:rPr>
        <w:t>SPV</w:t>
      </w:r>
      <w:r w:rsidRPr="003947AB">
        <w:rPr>
          <w:rFonts w:ascii="宋体" w:eastAsia="宋体" w:hAnsi="宋体" w:cs="Helvetica" w:hint="eastAsia"/>
          <w:color w:val="3E3E3E"/>
          <w:kern w:val="0"/>
          <w:sz w:val="24"/>
          <w:szCs w:val="24"/>
        </w:rPr>
        <w:t>获得贷款。这种融资形式的实质是政府通过给予私营公司长期的特许经营权和收益权来换取基础设施建设，以解决政府的财政困境。</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548DD4"/>
          <w:kern w:val="0"/>
          <w:sz w:val="24"/>
          <w:szCs w:val="24"/>
        </w:rPr>
        <w:t>将</w:t>
      </w:r>
      <w:r w:rsidRPr="003947AB">
        <w:rPr>
          <w:rFonts w:ascii="微软雅黑" w:eastAsia="微软雅黑" w:hAnsi="微软雅黑" w:cs="Helvetica" w:hint="eastAsia"/>
          <w:color w:val="548DD4"/>
          <w:kern w:val="0"/>
          <w:sz w:val="24"/>
          <w:szCs w:val="24"/>
        </w:rPr>
        <w:t>PPP</w:t>
      </w:r>
      <w:r w:rsidRPr="003947AB">
        <w:rPr>
          <w:rFonts w:ascii="宋体" w:eastAsia="宋体" w:hAnsi="宋体" w:cs="Helvetica" w:hint="eastAsia"/>
          <w:color w:val="548DD4"/>
          <w:kern w:val="0"/>
          <w:sz w:val="24"/>
          <w:szCs w:val="24"/>
        </w:rPr>
        <w:t>模式应用于环保基础设施建设的优势在于能够使政府和企业风险、收益共担，以吸引更多的民营资本参与，降低融资难度的同时提高建设和运营效率，同时有助于缓解地方政府债务问题。此次，财政部、环保部联合印发的《关于推进水污染防治领域政府和社会资本合作的实施意见》，要求水污染防治领域推广运用</w:t>
      </w:r>
      <w:r w:rsidRPr="003947AB">
        <w:rPr>
          <w:rFonts w:ascii="微软雅黑" w:eastAsia="微软雅黑" w:hAnsi="微软雅黑" w:cs="Helvetica" w:hint="eastAsia"/>
          <w:color w:val="548DD4"/>
          <w:kern w:val="0"/>
          <w:sz w:val="24"/>
          <w:szCs w:val="24"/>
        </w:rPr>
        <w:t>PPP</w:t>
      </w:r>
      <w:r w:rsidRPr="003947AB">
        <w:rPr>
          <w:rFonts w:ascii="宋体" w:eastAsia="宋体" w:hAnsi="宋体" w:cs="Helvetica" w:hint="eastAsia"/>
          <w:color w:val="548DD4"/>
          <w:kern w:val="0"/>
          <w:sz w:val="24"/>
          <w:szCs w:val="24"/>
        </w:rPr>
        <w:t>模式。通过建立投资回报机制，以费价机制透明合理、现金流支撑能力相对较强的存量项目为主，并通过土地开发、生态旅游等收益创造能力较强的配套项目资源吸引社会资本参与。</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548DD4"/>
          <w:kern w:val="0"/>
          <w:sz w:val="24"/>
          <w:szCs w:val="24"/>
        </w:rPr>
        <w:t>二是</w:t>
      </w:r>
      <w:r w:rsidRPr="003947AB">
        <w:rPr>
          <w:rFonts w:ascii="微软雅黑" w:eastAsia="微软雅黑" w:hAnsi="微软雅黑" w:cs="Helvetica" w:hint="eastAsia"/>
          <w:color w:val="548DD4"/>
          <w:kern w:val="0"/>
          <w:sz w:val="24"/>
          <w:szCs w:val="24"/>
        </w:rPr>
        <w:t>BT</w:t>
      </w:r>
      <w:r w:rsidRPr="003947AB">
        <w:rPr>
          <w:rFonts w:ascii="宋体" w:eastAsia="宋体" w:hAnsi="宋体" w:cs="Helvetica" w:hint="eastAsia"/>
          <w:color w:val="548DD4"/>
          <w:kern w:val="0"/>
          <w:sz w:val="24"/>
          <w:szCs w:val="24"/>
        </w:rPr>
        <w:t>模式</w:t>
      </w:r>
      <w:r w:rsidRPr="003947AB">
        <w:rPr>
          <w:rFonts w:ascii="微软雅黑" w:eastAsia="微软雅黑" w:hAnsi="微软雅黑" w:cs="Helvetica" w:hint="eastAsia"/>
          <w:color w:val="548DD4"/>
          <w:kern w:val="0"/>
          <w:sz w:val="24"/>
          <w:szCs w:val="24"/>
        </w:rPr>
        <w:t>+</w:t>
      </w:r>
      <w:r w:rsidRPr="003947AB">
        <w:rPr>
          <w:rFonts w:ascii="宋体" w:eastAsia="宋体" w:hAnsi="宋体" w:cs="Helvetica" w:hint="eastAsia"/>
          <w:color w:val="548DD4"/>
          <w:kern w:val="0"/>
          <w:sz w:val="24"/>
          <w:szCs w:val="24"/>
        </w:rPr>
        <w:t>环境税。</w:t>
      </w:r>
      <w:r w:rsidRPr="003947AB">
        <w:rPr>
          <w:rFonts w:ascii="微软雅黑" w:eastAsia="微软雅黑" w:hAnsi="微软雅黑" w:cs="Helvetica" w:hint="eastAsia"/>
          <w:color w:val="548DD4"/>
          <w:kern w:val="0"/>
          <w:sz w:val="24"/>
          <w:szCs w:val="24"/>
        </w:rPr>
        <w:t>PPP</w:t>
      </w:r>
      <w:r w:rsidRPr="003947AB">
        <w:rPr>
          <w:rFonts w:ascii="宋体" w:eastAsia="宋体" w:hAnsi="宋体" w:cs="Helvetica" w:hint="eastAsia"/>
          <w:color w:val="548DD4"/>
          <w:kern w:val="0"/>
          <w:sz w:val="24"/>
          <w:szCs w:val="24"/>
        </w:rPr>
        <w:t>模式应用的前提是私营部门能够通过政府让渡的特许经营权获得收益，然而现实中存在一些环保项目，如河流湖泊治理等，私营部门无法通过设立收费站等方式运营得到收益，因而对于这类项目，我们建议政府采用“</w:t>
      </w:r>
      <w:r w:rsidRPr="003947AB">
        <w:rPr>
          <w:rFonts w:ascii="微软雅黑" w:eastAsia="微软雅黑" w:hAnsi="微软雅黑" w:cs="Helvetica" w:hint="eastAsia"/>
          <w:color w:val="548DD4"/>
          <w:kern w:val="0"/>
          <w:sz w:val="24"/>
          <w:szCs w:val="24"/>
        </w:rPr>
        <w:t>BT</w:t>
      </w:r>
      <w:r w:rsidRPr="003947AB">
        <w:rPr>
          <w:rFonts w:ascii="宋体" w:eastAsia="宋体" w:hAnsi="宋体" w:cs="Helvetica" w:hint="eastAsia"/>
          <w:color w:val="548DD4"/>
          <w:kern w:val="0"/>
          <w:sz w:val="24"/>
          <w:szCs w:val="24"/>
        </w:rPr>
        <w:t>模式</w:t>
      </w:r>
      <w:r w:rsidRPr="003947AB">
        <w:rPr>
          <w:rFonts w:ascii="微软雅黑" w:eastAsia="微软雅黑" w:hAnsi="微软雅黑" w:cs="Helvetica" w:hint="eastAsia"/>
          <w:color w:val="548DD4"/>
          <w:kern w:val="0"/>
          <w:sz w:val="24"/>
          <w:szCs w:val="24"/>
        </w:rPr>
        <w:t>+</w:t>
      </w:r>
      <w:r w:rsidRPr="003947AB">
        <w:rPr>
          <w:rFonts w:ascii="宋体" w:eastAsia="宋体" w:hAnsi="宋体" w:cs="Helvetica" w:hint="eastAsia"/>
          <w:color w:val="548DD4"/>
          <w:kern w:val="0"/>
          <w:sz w:val="24"/>
          <w:szCs w:val="24"/>
        </w:rPr>
        <w:t>环境税”的方式建立运营。</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首先，无论从完善环境保护的激励惩罚机制还是扩充环保资金来源来看，征收环境税在当下中国都显得十分迫切。事实上，</w:t>
      </w:r>
      <w:r w:rsidRPr="003947AB">
        <w:rPr>
          <w:rFonts w:ascii="微软雅黑" w:eastAsia="微软雅黑" w:hAnsi="微软雅黑" w:cs="Helvetica" w:hint="eastAsia"/>
          <w:color w:val="3E3E3E"/>
          <w:kern w:val="0"/>
          <w:sz w:val="24"/>
          <w:szCs w:val="24"/>
        </w:rPr>
        <w:t>OECD</w:t>
      </w:r>
      <w:r w:rsidRPr="003947AB">
        <w:rPr>
          <w:rFonts w:ascii="宋体" w:eastAsia="宋体" w:hAnsi="宋体" w:cs="Helvetica" w:hint="eastAsia"/>
          <w:color w:val="3E3E3E"/>
          <w:kern w:val="0"/>
          <w:sz w:val="24"/>
          <w:szCs w:val="24"/>
        </w:rPr>
        <w:t>和欧盟国家</w:t>
      </w:r>
      <w:r w:rsidRPr="003947AB">
        <w:rPr>
          <w:rFonts w:ascii="微软雅黑" w:eastAsia="微软雅黑" w:hAnsi="微软雅黑" w:cs="Helvetica" w:hint="eastAsia"/>
          <w:color w:val="3E3E3E"/>
          <w:kern w:val="0"/>
          <w:sz w:val="24"/>
          <w:szCs w:val="24"/>
        </w:rPr>
        <w:t>20</w:t>
      </w:r>
      <w:r w:rsidRPr="003947AB">
        <w:rPr>
          <w:rFonts w:ascii="宋体" w:eastAsia="宋体" w:hAnsi="宋体" w:cs="Helvetica" w:hint="eastAsia"/>
          <w:color w:val="3E3E3E"/>
          <w:kern w:val="0"/>
          <w:sz w:val="24"/>
          <w:szCs w:val="24"/>
        </w:rPr>
        <w:t>年来的国际经验都表明，征收环境税对于提高资源利用效率和改善生态环境都是有效的。我们建议政府部门用征收的环境税建立生态环保基金公共账户，专门用来定期偿还购买企业环保服务的价款。</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其次，政府与企业签订环保项目建造合同。同时政府将生态环保基金账户开设于银行作为抵押，并保证账户内留有下期还款额度，以承诺分期还款的方式与银行达成贷款协议，所贷款项由银行直接投放到建造企业账户，用于环保项目建设。</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宋体" w:eastAsia="宋体" w:hAnsi="宋体" w:cs="Helvetica" w:hint="eastAsia"/>
          <w:color w:val="3E3E3E"/>
          <w:kern w:val="0"/>
          <w:sz w:val="24"/>
          <w:szCs w:val="24"/>
        </w:rPr>
        <w:t>最后，考虑到此类项目贷款具有大额长期、收益不明显的特征。而作为以服务国家战略为宗旨的开发性金融机构</w:t>
      </w:r>
      <w:r w:rsidRPr="003947AB">
        <w:rPr>
          <w:rFonts w:ascii="微软雅黑" w:eastAsia="微软雅黑" w:hAnsi="微软雅黑" w:cs="Helvetica" w:hint="eastAsia"/>
          <w:color w:val="3E3E3E"/>
          <w:kern w:val="0"/>
          <w:sz w:val="24"/>
          <w:szCs w:val="24"/>
        </w:rPr>
        <w:t>--</w:t>
      </w:r>
      <w:r w:rsidRPr="003947AB">
        <w:rPr>
          <w:rFonts w:ascii="宋体" w:eastAsia="宋体" w:hAnsi="宋体" w:cs="Helvetica" w:hint="eastAsia"/>
          <w:color w:val="3E3E3E"/>
          <w:kern w:val="0"/>
          <w:sz w:val="24"/>
          <w:szCs w:val="24"/>
        </w:rPr>
        <w:t>国家开发银行主要通过开展中长期信贷与投资等金融业务，筹集和引导社会资金，缓解经济社会发展的瓶颈制约和薄弱环节，为国民经济重大中长期发展战略服务。</w:t>
      </w: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p>
    <w:p w:rsidR="003947AB" w:rsidRPr="003947AB" w:rsidRDefault="003947AB" w:rsidP="003947AB">
      <w:pPr>
        <w:widowControl/>
        <w:shd w:val="clear" w:color="auto" w:fill="FFFFFF"/>
        <w:spacing w:before="100" w:beforeAutospacing="1" w:after="100" w:afterAutospacing="1"/>
        <w:jc w:val="left"/>
        <w:rPr>
          <w:rFonts w:ascii="微软雅黑" w:eastAsia="微软雅黑" w:hAnsi="微软雅黑" w:cs="Helvetica"/>
          <w:color w:val="3E3E3E"/>
          <w:kern w:val="0"/>
          <w:sz w:val="24"/>
          <w:szCs w:val="24"/>
        </w:rPr>
      </w:pPr>
      <w:r w:rsidRPr="003947AB">
        <w:rPr>
          <w:rFonts w:ascii="微软雅黑" w:eastAsia="微软雅黑" w:hAnsi="微软雅黑" w:cs="Helvetica" w:hint="eastAsia"/>
          <w:color w:val="548DD4"/>
          <w:kern w:val="0"/>
          <w:sz w:val="24"/>
          <w:szCs w:val="24"/>
        </w:rPr>
        <w:t>By 国开行研究院常务副院长、研发中心主任 郭濂</w:t>
      </w:r>
    </w:p>
    <w:sectPr w:rsidR="003947AB" w:rsidRPr="003947AB" w:rsidSect="00614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AD8" w:rsidRDefault="00D17AD8" w:rsidP="00476E14">
      <w:r>
        <w:separator/>
      </w:r>
    </w:p>
  </w:endnote>
  <w:endnote w:type="continuationSeparator" w:id="1">
    <w:p w:rsidR="00D17AD8" w:rsidRDefault="00D17AD8" w:rsidP="00476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AD8" w:rsidRDefault="00D17AD8" w:rsidP="00476E14">
      <w:r>
        <w:separator/>
      </w:r>
    </w:p>
  </w:footnote>
  <w:footnote w:type="continuationSeparator" w:id="1">
    <w:p w:rsidR="00D17AD8" w:rsidRDefault="00D17AD8" w:rsidP="00476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7AB"/>
    <w:rsid w:val="003947AB"/>
    <w:rsid w:val="00476E14"/>
    <w:rsid w:val="006145ED"/>
    <w:rsid w:val="00D17AD8"/>
    <w:rsid w:val="00D71B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ED"/>
    <w:pPr>
      <w:widowControl w:val="0"/>
      <w:jc w:val="both"/>
    </w:pPr>
  </w:style>
  <w:style w:type="paragraph" w:styleId="2">
    <w:name w:val="heading 2"/>
    <w:basedOn w:val="a"/>
    <w:link w:val="2Char"/>
    <w:uiPriority w:val="9"/>
    <w:qFormat/>
    <w:rsid w:val="003947AB"/>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Char">
    <w:name w:val="标题 2 Char"/>
    <w:basedOn w:val="a0"/>
    <w:link w:val="2"/>
    <w:uiPriority w:val="9"/>
    <w:rsid w:val="003947AB"/>
    <w:rPr>
      <w:rFonts w:ascii="宋体" w:eastAsia="宋体" w:hAnsi="宋体" w:cs="宋体"/>
      <w:kern w:val="0"/>
      <w:sz w:val="24"/>
      <w:szCs w:val="24"/>
    </w:rPr>
  </w:style>
  <w:style w:type="character" w:styleId="a3">
    <w:name w:val="Hyperlink"/>
    <w:basedOn w:val="a0"/>
    <w:uiPriority w:val="99"/>
    <w:semiHidden/>
    <w:unhideWhenUsed/>
    <w:rsid w:val="003947AB"/>
    <w:rPr>
      <w:strike w:val="0"/>
      <w:dstrike w:val="0"/>
      <w:color w:val="607FA6"/>
      <w:u w:val="none"/>
      <w:effect w:val="none"/>
    </w:rPr>
  </w:style>
  <w:style w:type="character" w:styleId="a4">
    <w:name w:val="Emphasis"/>
    <w:basedOn w:val="a0"/>
    <w:uiPriority w:val="20"/>
    <w:qFormat/>
    <w:rsid w:val="003947AB"/>
    <w:rPr>
      <w:i/>
      <w:iCs/>
    </w:rPr>
  </w:style>
  <w:style w:type="paragraph" w:customStyle="1" w:styleId="profilemeta">
    <w:name w:val="profile_meta"/>
    <w:basedOn w:val="a"/>
    <w:rsid w:val="003947AB"/>
    <w:pPr>
      <w:widowControl/>
      <w:spacing w:before="75" w:after="100" w:afterAutospacing="1"/>
      <w:jc w:val="left"/>
    </w:pPr>
    <w:rPr>
      <w:rFonts w:ascii="宋体" w:eastAsia="宋体" w:hAnsi="宋体" w:cs="宋体"/>
      <w:kern w:val="0"/>
      <w:sz w:val="24"/>
      <w:szCs w:val="24"/>
    </w:rPr>
  </w:style>
  <w:style w:type="character" w:customStyle="1" w:styleId="frmtextareabox">
    <w:name w:val="frm_textarea_box"/>
    <w:basedOn w:val="a0"/>
    <w:rsid w:val="003947AB"/>
  </w:style>
  <w:style w:type="character" w:customStyle="1" w:styleId="tips">
    <w:name w:val="tips"/>
    <w:basedOn w:val="a0"/>
    <w:rsid w:val="003947AB"/>
  </w:style>
  <w:style w:type="paragraph" w:customStyle="1" w:styleId="toastcontent">
    <w:name w:val="toast_content"/>
    <w:basedOn w:val="a"/>
    <w:rsid w:val="003947AB"/>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3947AB"/>
    <w:rPr>
      <w:sz w:val="24"/>
      <w:szCs w:val="24"/>
    </w:rPr>
  </w:style>
  <w:style w:type="character" w:styleId="a5">
    <w:name w:val="Strong"/>
    <w:basedOn w:val="a0"/>
    <w:uiPriority w:val="22"/>
    <w:qFormat/>
    <w:rsid w:val="003947AB"/>
    <w:rPr>
      <w:b/>
      <w:bCs/>
    </w:rPr>
  </w:style>
  <w:style w:type="character" w:customStyle="1" w:styleId="profilemetavalue1">
    <w:name w:val="profile_meta_value1"/>
    <w:basedOn w:val="a0"/>
    <w:rsid w:val="003947AB"/>
    <w:rPr>
      <w:vanish w:val="0"/>
      <w:webHidden w:val="0"/>
      <w:color w:val="ADADAD"/>
      <w:specVanish w:val="0"/>
    </w:rPr>
  </w:style>
  <w:style w:type="paragraph" w:styleId="a6">
    <w:name w:val="Balloon Text"/>
    <w:basedOn w:val="a"/>
    <w:link w:val="Char"/>
    <w:uiPriority w:val="99"/>
    <w:semiHidden/>
    <w:unhideWhenUsed/>
    <w:rsid w:val="00476E14"/>
    <w:rPr>
      <w:sz w:val="18"/>
      <w:szCs w:val="18"/>
    </w:rPr>
  </w:style>
  <w:style w:type="character" w:customStyle="1" w:styleId="Char">
    <w:name w:val="批注框文本 Char"/>
    <w:basedOn w:val="a0"/>
    <w:link w:val="a6"/>
    <w:uiPriority w:val="99"/>
    <w:semiHidden/>
    <w:rsid w:val="00476E14"/>
    <w:rPr>
      <w:sz w:val="18"/>
      <w:szCs w:val="18"/>
    </w:rPr>
  </w:style>
  <w:style w:type="paragraph" w:styleId="a7">
    <w:name w:val="header"/>
    <w:basedOn w:val="a"/>
    <w:link w:val="Char0"/>
    <w:uiPriority w:val="99"/>
    <w:semiHidden/>
    <w:unhideWhenUsed/>
    <w:rsid w:val="00476E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76E14"/>
    <w:rPr>
      <w:sz w:val="18"/>
      <w:szCs w:val="18"/>
    </w:rPr>
  </w:style>
  <w:style w:type="paragraph" w:styleId="a8">
    <w:name w:val="footer"/>
    <w:basedOn w:val="a"/>
    <w:link w:val="Char1"/>
    <w:uiPriority w:val="99"/>
    <w:semiHidden/>
    <w:unhideWhenUsed/>
    <w:rsid w:val="00476E14"/>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476E14"/>
    <w:rPr>
      <w:sz w:val="18"/>
      <w:szCs w:val="18"/>
    </w:rPr>
  </w:style>
</w:styles>
</file>

<file path=word/webSettings.xml><?xml version="1.0" encoding="utf-8"?>
<w:webSettings xmlns:r="http://schemas.openxmlformats.org/officeDocument/2006/relationships" xmlns:w="http://schemas.openxmlformats.org/wordprocessingml/2006/main">
  <w:divs>
    <w:div w:id="64572106">
      <w:marLeft w:val="0"/>
      <w:marRight w:val="0"/>
      <w:marTop w:val="0"/>
      <w:marBottom w:val="0"/>
      <w:divBdr>
        <w:top w:val="none" w:sz="0" w:space="0" w:color="auto"/>
        <w:left w:val="none" w:sz="0" w:space="0" w:color="auto"/>
        <w:bottom w:val="none" w:sz="0" w:space="0" w:color="auto"/>
        <w:right w:val="none" w:sz="0" w:space="0" w:color="auto"/>
      </w:divBdr>
      <w:divsChild>
        <w:div w:id="1182283229">
          <w:marLeft w:val="0"/>
          <w:marRight w:val="0"/>
          <w:marTop w:val="0"/>
          <w:marBottom w:val="0"/>
          <w:divBdr>
            <w:top w:val="none" w:sz="0" w:space="0" w:color="auto"/>
            <w:left w:val="none" w:sz="0" w:space="0" w:color="auto"/>
            <w:bottom w:val="none" w:sz="0" w:space="0" w:color="auto"/>
            <w:right w:val="none" w:sz="0" w:space="0" w:color="auto"/>
          </w:divBdr>
          <w:divsChild>
            <w:div w:id="828709464">
              <w:marLeft w:val="0"/>
              <w:marRight w:val="0"/>
              <w:marTop w:val="0"/>
              <w:marBottom w:val="0"/>
              <w:divBdr>
                <w:top w:val="none" w:sz="0" w:space="0" w:color="auto"/>
                <w:left w:val="none" w:sz="0" w:space="0" w:color="auto"/>
                <w:bottom w:val="none" w:sz="0" w:space="0" w:color="auto"/>
                <w:right w:val="none" w:sz="0" w:space="0" w:color="auto"/>
              </w:divBdr>
              <w:divsChild>
                <w:div w:id="206065787">
                  <w:marLeft w:val="0"/>
                  <w:marRight w:val="0"/>
                  <w:marTop w:val="0"/>
                  <w:marBottom w:val="0"/>
                  <w:divBdr>
                    <w:top w:val="none" w:sz="0" w:space="0" w:color="auto"/>
                    <w:left w:val="none" w:sz="0" w:space="0" w:color="auto"/>
                    <w:bottom w:val="none" w:sz="0" w:space="0" w:color="auto"/>
                    <w:right w:val="none" w:sz="0" w:space="0" w:color="auto"/>
                  </w:divBdr>
                  <w:divsChild>
                    <w:div w:id="1613896329">
                      <w:marLeft w:val="0"/>
                      <w:marRight w:val="0"/>
                      <w:marTop w:val="0"/>
                      <w:marBottom w:val="270"/>
                      <w:divBdr>
                        <w:top w:val="none" w:sz="0" w:space="0" w:color="auto"/>
                        <w:left w:val="none" w:sz="0" w:space="0" w:color="auto"/>
                        <w:bottom w:val="none" w:sz="0" w:space="0" w:color="auto"/>
                        <w:right w:val="none" w:sz="0" w:space="0" w:color="auto"/>
                      </w:divBdr>
                      <w:divsChild>
                        <w:div w:id="363872847">
                          <w:marLeft w:val="0"/>
                          <w:marRight w:val="0"/>
                          <w:marTop w:val="0"/>
                          <w:marBottom w:val="0"/>
                          <w:divBdr>
                            <w:top w:val="none" w:sz="0" w:space="0" w:color="auto"/>
                            <w:left w:val="none" w:sz="0" w:space="0" w:color="auto"/>
                            <w:bottom w:val="none" w:sz="0" w:space="0" w:color="auto"/>
                            <w:right w:val="none" w:sz="0" w:space="0" w:color="auto"/>
                          </w:divBdr>
                          <w:divsChild>
                            <w:div w:id="1306082709">
                              <w:marLeft w:val="0"/>
                              <w:marRight w:val="0"/>
                              <w:marTop w:val="0"/>
                              <w:marBottom w:val="0"/>
                              <w:divBdr>
                                <w:top w:val="single" w:sz="6" w:space="23" w:color="D9DADC"/>
                                <w:left w:val="single" w:sz="6" w:space="31" w:color="D9DADC"/>
                                <w:bottom w:val="single" w:sz="6" w:space="27" w:color="D9DADC"/>
                                <w:right w:val="single" w:sz="6" w:space="17" w:color="D9DADC"/>
                              </w:divBdr>
                            </w:div>
                          </w:divsChild>
                        </w:div>
                      </w:divsChild>
                    </w:div>
                    <w:div w:id="338311614">
                      <w:marLeft w:val="0"/>
                      <w:marRight w:val="0"/>
                      <w:marTop w:val="0"/>
                      <w:marBottom w:val="0"/>
                      <w:divBdr>
                        <w:top w:val="none" w:sz="0" w:space="0" w:color="auto"/>
                        <w:left w:val="none" w:sz="0" w:space="0" w:color="auto"/>
                        <w:bottom w:val="none" w:sz="0" w:space="0" w:color="auto"/>
                        <w:right w:val="none" w:sz="0" w:space="0" w:color="auto"/>
                      </w:divBdr>
                    </w:div>
                    <w:div w:id="1232815579">
                      <w:marLeft w:val="0"/>
                      <w:marRight w:val="0"/>
                      <w:marTop w:val="0"/>
                      <w:marBottom w:val="0"/>
                      <w:divBdr>
                        <w:top w:val="none" w:sz="0" w:space="0" w:color="auto"/>
                        <w:left w:val="none" w:sz="0" w:space="0" w:color="auto"/>
                        <w:bottom w:val="none" w:sz="0" w:space="0" w:color="auto"/>
                        <w:right w:val="none" w:sz="0" w:space="0" w:color="auto"/>
                      </w:divBdr>
                    </w:div>
                    <w:div w:id="2111730059">
                      <w:marLeft w:val="0"/>
                      <w:marRight w:val="0"/>
                      <w:marTop w:val="0"/>
                      <w:marBottom w:val="0"/>
                      <w:divBdr>
                        <w:top w:val="none" w:sz="0" w:space="0" w:color="auto"/>
                        <w:left w:val="none" w:sz="0" w:space="0" w:color="auto"/>
                        <w:bottom w:val="none" w:sz="0" w:space="0" w:color="auto"/>
                        <w:right w:val="none" w:sz="0" w:space="0" w:color="auto"/>
                      </w:divBdr>
                      <w:divsChild>
                        <w:div w:id="2845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8834">
              <w:marLeft w:val="0"/>
              <w:marRight w:val="0"/>
              <w:marTop w:val="0"/>
              <w:marBottom w:val="0"/>
              <w:divBdr>
                <w:top w:val="none" w:sz="0" w:space="0" w:color="auto"/>
                <w:left w:val="none" w:sz="0" w:space="0" w:color="auto"/>
                <w:bottom w:val="none" w:sz="0" w:space="0" w:color="auto"/>
                <w:right w:val="none" w:sz="0" w:space="0" w:color="auto"/>
              </w:divBdr>
              <w:divsChild>
                <w:div w:id="819270804">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Child>
    </w:div>
    <w:div w:id="372854678">
      <w:marLeft w:val="0"/>
      <w:marRight w:val="0"/>
      <w:marTop w:val="0"/>
      <w:marBottom w:val="0"/>
      <w:divBdr>
        <w:top w:val="none" w:sz="0" w:space="0" w:color="auto"/>
        <w:left w:val="none" w:sz="0" w:space="0" w:color="auto"/>
        <w:bottom w:val="none" w:sz="0" w:space="0" w:color="auto"/>
        <w:right w:val="none" w:sz="0" w:space="0" w:color="auto"/>
      </w:divBdr>
      <w:divsChild>
        <w:div w:id="1793748166">
          <w:marLeft w:val="0"/>
          <w:marRight w:val="0"/>
          <w:marTop w:val="0"/>
          <w:marBottom w:val="0"/>
          <w:divBdr>
            <w:top w:val="none" w:sz="0" w:space="0" w:color="auto"/>
            <w:left w:val="none" w:sz="0" w:space="0" w:color="auto"/>
            <w:bottom w:val="none" w:sz="0" w:space="0" w:color="auto"/>
            <w:right w:val="none" w:sz="0" w:space="0" w:color="auto"/>
          </w:divBdr>
          <w:divsChild>
            <w:div w:id="211040896">
              <w:marLeft w:val="0"/>
              <w:marRight w:val="0"/>
              <w:marTop w:val="0"/>
              <w:marBottom w:val="0"/>
              <w:divBdr>
                <w:top w:val="none" w:sz="0" w:space="0" w:color="auto"/>
                <w:left w:val="none" w:sz="0" w:space="0" w:color="auto"/>
                <w:bottom w:val="none" w:sz="0" w:space="0" w:color="auto"/>
                <w:right w:val="none" w:sz="0" w:space="0" w:color="auto"/>
              </w:divBdr>
            </w:div>
            <w:div w:id="1259756023">
              <w:marLeft w:val="0"/>
              <w:marRight w:val="0"/>
              <w:marTop w:val="0"/>
              <w:marBottom w:val="0"/>
              <w:divBdr>
                <w:top w:val="none" w:sz="0" w:space="0" w:color="auto"/>
                <w:left w:val="none" w:sz="0" w:space="0" w:color="auto"/>
                <w:bottom w:val="none" w:sz="0" w:space="0" w:color="auto"/>
                <w:right w:val="none" w:sz="0" w:space="0" w:color="auto"/>
              </w:divBdr>
            </w:div>
            <w:div w:id="1053386944">
              <w:marLeft w:val="0"/>
              <w:marRight w:val="0"/>
              <w:marTop w:val="0"/>
              <w:marBottom w:val="0"/>
              <w:divBdr>
                <w:top w:val="none" w:sz="0" w:space="0" w:color="auto"/>
                <w:left w:val="none" w:sz="0" w:space="0" w:color="auto"/>
                <w:bottom w:val="none" w:sz="0" w:space="0" w:color="auto"/>
                <w:right w:val="none" w:sz="0" w:space="0" w:color="auto"/>
              </w:divBdr>
              <w:divsChild>
                <w:div w:id="1924488609">
                  <w:marLeft w:val="0"/>
                  <w:marRight w:val="0"/>
                  <w:marTop w:val="0"/>
                  <w:marBottom w:val="0"/>
                  <w:divBdr>
                    <w:top w:val="none" w:sz="0" w:space="0" w:color="auto"/>
                    <w:left w:val="none" w:sz="0" w:space="0" w:color="auto"/>
                    <w:bottom w:val="none" w:sz="0" w:space="0" w:color="auto"/>
                    <w:right w:val="none" w:sz="0" w:space="0" w:color="auto"/>
                  </w:divBdr>
                </w:div>
              </w:divsChild>
            </w:div>
            <w:div w:id="619386682">
              <w:marLeft w:val="0"/>
              <w:marRight w:val="0"/>
              <w:marTop w:val="0"/>
              <w:marBottom w:val="0"/>
              <w:divBdr>
                <w:top w:val="none" w:sz="0" w:space="0" w:color="auto"/>
                <w:left w:val="none" w:sz="0" w:space="0" w:color="auto"/>
                <w:bottom w:val="none" w:sz="0" w:space="0" w:color="auto"/>
                <w:right w:val="none" w:sz="0" w:space="0" w:color="auto"/>
              </w:divBdr>
            </w:div>
            <w:div w:id="4513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2015-05-21T06:13:00Z</dcterms:created>
  <dcterms:modified xsi:type="dcterms:W3CDTF">2015-05-25T09:35:00Z</dcterms:modified>
</cp:coreProperties>
</file>