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4E" w:rsidRDefault="00AC343E" w:rsidP="00352B4E">
      <w:pPr>
        <w:pStyle w:val="Title"/>
        <w:jc w:val="center"/>
      </w:pPr>
      <w:r>
        <w:rPr>
          <w:rFonts w:hint="eastAsia"/>
        </w:rPr>
        <w:t>构建</w:t>
      </w:r>
      <w:r w:rsidR="00352B4E">
        <w:rPr>
          <w:rFonts w:hint="eastAsia"/>
        </w:rPr>
        <w:t>绿色</w:t>
      </w:r>
      <w:r w:rsidR="00352B4E">
        <w:t>银行</w:t>
      </w:r>
      <w:r w:rsidR="00352B4E">
        <w:rPr>
          <w:rFonts w:hint="eastAsia"/>
        </w:rPr>
        <w:t>的</w:t>
      </w:r>
      <w:r w:rsidR="008D0AD2">
        <w:rPr>
          <w:rFonts w:hint="eastAsia"/>
        </w:rPr>
        <w:t>国际</w:t>
      </w:r>
      <w:r w:rsidR="00352B4E">
        <w:rPr>
          <w:rFonts w:hint="eastAsia"/>
        </w:rPr>
        <w:t>实践</w:t>
      </w:r>
      <w:r w:rsidR="00352B4E">
        <w:t>与经验</w:t>
      </w:r>
    </w:p>
    <w:p w:rsidR="00C473DF" w:rsidRDefault="00C473DF" w:rsidP="00C473DF">
      <w:pPr>
        <w:jc w:val="center"/>
        <w:rPr>
          <w:vertAlign w:val="superscript"/>
        </w:rPr>
      </w:pPr>
      <w:r>
        <w:rPr>
          <w:rFonts w:hint="eastAsia"/>
        </w:rPr>
        <w:t>朱寿庆</w:t>
      </w:r>
      <w:r>
        <w:t>、周李焕</w:t>
      </w:r>
      <w:r>
        <w:rPr>
          <w:rStyle w:val="FootnoteReference"/>
        </w:rPr>
        <w:footnoteReference w:id="1"/>
      </w:r>
      <w:r w:rsidR="00A86853" w:rsidRPr="00A86853">
        <w:rPr>
          <w:rFonts w:hint="eastAsia"/>
          <w:vertAlign w:val="superscript"/>
        </w:rPr>
        <w:t>,</w:t>
      </w:r>
      <w:r>
        <w:rPr>
          <w:rStyle w:val="FootnoteReference"/>
        </w:rPr>
        <w:footnoteReference w:id="2"/>
      </w:r>
    </w:p>
    <w:p w:rsidR="002A10AD" w:rsidRPr="00BD792F" w:rsidRDefault="002A10AD" w:rsidP="007F2D01">
      <w:pPr>
        <w:pStyle w:val="Heading1"/>
        <w:spacing w:after="120"/>
      </w:pPr>
      <w:r w:rsidRPr="00BD792F">
        <w:rPr>
          <w:rFonts w:hint="eastAsia"/>
        </w:rPr>
        <w:t>摘要</w:t>
      </w:r>
    </w:p>
    <w:p w:rsidR="00BD792F" w:rsidRPr="0071558B" w:rsidRDefault="00D913F0" w:rsidP="00D913F0">
      <w:pPr>
        <w:rPr>
          <w:sz w:val="30"/>
          <w:szCs w:val="30"/>
        </w:rPr>
      </w:pPr>
      <w:r w:rsidRPr="0071558B">
        <w:rPr>
          <w:rFonts w:hint="eastAsia"/>
          <w:sz w:val="30"/>
          <w:szCs w:val="30"/>
        </w:rPr>
        <w:t>虽然中国已出</w:t>
      </w:r>
      <w:r w:rsidR="0040663B" w:rsidRPr="0071558B">
        <w:rPr>
          <w:rFonts w:hint="eastAsia"/>
          <w:sz w:val="30"/>
          <w:szCs w:val="30"/>
        </w:rPr>
        <w:t>台多项政策</w:t>
      </w:r>
      <w:r w:rsidRPr="0071558B">
        <w:rPr>
          <w:rFonts w:hint="eastAsia"/>
          <w:sz w:val="30"/>
          <w:szCs w:val="30"/>
        </w:rPr>
        <w:t>治理环境污染和应对气候变化，但是中国向低碳经济转型仍然面临巨大的投资缺口。</w:t>
      </w:r>
      <w:r w:rsidR="009C463F" w:rsidRPr="0071558B">
        <w:rPr>
          <w:rFonts w:hint="eastAsia"/>
          <w:sz w:val="30"/>
          <w:szCs w:val="30"/>
        </w:rPr>
        <w:t>本文探讨了设立绿色银行</w:t>
      </w:r>
      <w:r w:rsidR="00F06548" w:rsidRPr="0071558B">
        <w:rPr>
          <w:rFonts w:hint="eastAsia"/>
          <w:sz w:val="30"/>
          <w:szCs w:val="30"/>
        </w:rPr>
        <w:t>这一减小投资缺口的新方法</w:t>
      </w:r>
      <w:r w:rsidR="009C463F" w:rsidRPr="0071558B">
        <w:rPr>
          <w:rFonts w:hint="eastAsia"/>
          <w:sz w:val="30"/>
          <w:szCs w:val="30"/>
        </w:rPr>
        <w:t>，并总结了</w:t>
      </w:r>
      <w:r w:rsidR="00F06548" w:rsidRPr="0071558B">
        <w:rPr>
          <w:rFonts w:hint="eastAsia"/>
          <w:sz w:val="30"/>
          <w:szCs w:val="30"/>
        </w:rPr>
        <w:t>构建绿色银行的</w:t>
      </w:r>
      <w:r w:rsidR="009C463F" w:rsidRPr="0071558B">
        <w:rPr>
          <w:rFonts w:hint="eastAsia"/>
          <w:sz w:val="30"/>
          <w:szCs w:val="30"/>
        </w:rPr>
        <w:t>国际经验</w:t>
      </w:r>
      <w:r w:rsidR="00F06548" w:rsidRPr="0071558B">
        <w:rPr>
          <w:rFonts w:hint="eastAsia"/>
          <w:sz w:val="30"/>
          <w:szCs w:val="30"/>
        </w:rPr>
        <w:t>与实践</w:t>
      </w:r>
      <w:r w:rsidR="009C463F" w:rsidRPr="0071558B">
        <w:rPr>
          <w:rFonts w:hint="eastAsia"/>
          <w:sz w:val="30"/>
          <w:szCs w:val="30"/>
        </w:rPr>
        <w:t>。</w:t>
      </w:r>
    </w:p>
    <w:p w:rsidR="009C463F" w:rsidRPr="0071558B" w:rsidRDefault="009C463F" w:rsidP="00D913F0">
      <w:pPr>
        <w:rPr>
          <w:sz w:val="30"/>
          <w:szCs w:val="30"/>
        </w:rPr>
      </w:pPr>
      <w:r w:rsidRPr="0071558B">
        <w:rPr>
          <w:rFonts w:hint="eastAsia"/>
          <w:sz w:val="30"/>
          <w:szCs w:val="30"/>
        </w:rPr>
        <w:t>绿色银行能够有效降</w:t>
      </w:r>
      <w:r w:rsidR="0040663B" w:rsidRPr="0071558B">
        <w:rPr>
          <w:rFonts w:hint="eastAsia"/>
          <w:sz w:val="30"/>
          <w:szCs w:val="30"/>
        </w:rPr>
        <w:t>减轻</w:t>
      </w:r>
      <w:r w:rsidRPr="0071558B">
        <w:rPr>
          <w:rFonts w:hint="eastAsia"/>
          <w:sz w:val="30"/>
          <w:szCs w:val="30"/>
        </w:rPr>
        <w:t>再生能源和节能领域的市场失灵并促进这些领域的投资。这些</w:t>
      </w:r>
      <w:r w:rsidR="0040663B" w:rsidRPr="0071558B">
        <w:rPr>
          <w:rFonts w:hint="eastAsia"/>
          <w:sz w:val="30"/>
          <w:szCs w:val="30"/>
        </w:rPr>
        <w:t>领域</w:t>
      </w:r>
      <w:r w:rsidR="0040663B" w:rsidRPr="0071558B">
        <w:rPr>
          <w:sz w:val="30"/>
          <w:szCs w:val="30"/>
        </w:rPr>
        <w:t>的</w:t>
      </w:r>
      <w:r w:rsidRPr="0071558B">
        <w:rPr>
          <w:rFonts w:hint="eastAsia"/>
          <w:sz w:val="30"/>
          <w:szCs w:val="30"/>
        </w:rPr>
        <w:t>市场失灵包括：使用化石能源带来的负外部性、可再生能源</w:t>
      </w:r>
      <w:r w:rsidR="00F7565D" w:rsidRPr="0071558B">
        <w:rPr>
          <w:rFonts w:hint="eastAsia"/>
          <w:sz w:val="30"/>
          <w:szCs w:val="30"/>
        </w:rPr>
        <w:t>项目</w:t>
      </w:r>
      <w:r w:rsidRPr="0071558B">
        <w:rPr>
          <w:rFonts w:hint="eastAsia"/>
          <w:sz w:val="30"/>
          <w:szCs w:val="30"/>
        </w:rPr>
        <w:t>融资中的信息不对称和交易成本等。通过深入</w:t>
      </w:r>
      <w:r w:rsidR="009D414E" w:rsidRPr="0071558B">
        <w:rPr>
          <w:rFonts w:hint="eastAsia"/>
          <w:sz w:val="30"/>
          <w:szCs w:val="30"/>
        </w:rPr>
        <w:t>考察</w:t>
      </w:r>
      <w:r w:rsidRPr="0071558B">
        <w:rPr>
          <w:rFonts w:hint="eastAsia"/>
          <w:sz w:val="30"/>
          <w:szCs w:val="30"/>
        </w:rPr>
        <w:t>两家国家</w:t>
      </w:r>
      <w:r w:rsidR="009D414E" w:rsidRPr="0071558B">
        <w:rPr>
          <w:rFonts w:hint="eastAsia"/>
          <w:sz w:val="30"/>
          <w:szCs w:val="30"/>
        </w:rPr>
        <w:t>级</w:t>
      </w:r>
      <w:r w:rsidRPr="0071558B">
        <w:rPr>
          <w:rFonts w:hint="eastAsia"/>
          <w:sz w:val="30"/>
          <w:szCs w:val="30"/>
        </w:rPr>
        <w:t>绿色银行和三家省级绿色银行</w:t>
      </w:r>
      <w:r w:rsidR="009D414E" w:rsidRPr="0071558B">
        <w:rPr>
          <w:rFonts w:hint="eastAsia"/>
          <w:sz w:val="30"/>
          <w:szCs w:val="30"/>
        </w:rPr>
        <w:t>的案例</w:t>
      </w:r>
      <w:r w:rsidRPr="0071558B">
        <w:rPr>
          <w:rFonts w:hint="eastAsia"/>
          <w:sz w:val="30"/>
          <w:szCs w:val="30"/>
        </w:rPr>
        <w:t>，本文提供了绿色银行</w:t>
      </w:r>
      <w:r w:rsidR="009D414E" w:rsidRPr="0071558B">
        <w:rPr>
          <w:rFonts w:hint="eastAsia"/>
          <w:sz w:val="30"/>
          <w:szCs w:val="30"/>
        </w:rPr>
        <w:t>在商业模式、融资、</w:t>
      </w:r>
      <w:r w:rsidRPr="0071558B">
        <w:rPr>
          <w:rFonts w:hint="eastAsia"/>
          <w:sz w:val="30"/>
          <w:szCs w:val="30"/>
        </w:rPr>
        <w:t>风险和投资</w:t>
      </w:r>
      <w:r w:rsidR="009D414E" w:rsidRPr="0071558B">
        <w:rPr>
          <w:rFonts w:hint="eastAsia"/>
          <w:sz w:val="30"/>
          <w:szCs w:val="30"/>
        </w:rPr>
        <w:t>管理等方面</w:t>
      </w:r>
      <w:r w:rsidRPr="0071558B">
        <w:rPr>
          <w:rFonts w:hint="eastAsia"/>
          <w:sz w:val="30"/>
          <w:szCs w:val="30"/>
        </w:rPr>
        <w:t>的良好实践。</w:t>
      </w:r>
    </w:p>
    <w:p w:rsidR="008D0AD2" w:rsidRPr="0071558B" w:rsidRDefault="009C463F" w:rsidP="008D0AD2">
      <w:pPr>
        <w:jc w:val="left"/>
        <w:rPr>
          <w:sz w:val="30"/>
          <w:szCs w:val="30"/>
        </w:rPr>
      </w:pPr>
      <w:r w:rsidRPr="0071558B">
        <w:rPr>
          <w:rFonts w:hint="eastAsia"/>
          <w:sz w:val="30"/>
          <w:szCs w:val="30"/>
        </w:rPr>
        <w:t>作者相信</w:t>
      </w:r>
      <w:r w:rsidR="009E5EE4" w:rsidRPr="0071558B">
        <w:rPr>
          <w:rFonts w:hint="eastAsia"/>
          <w:sz w:val="30"/>
          <w:szCs w:val="30"/>
        </w:rPr>
        <w:t>，</w:t>
      </w:r>
      <w:r w:rsidR="004B212C" w:rsidRPr="0071558B">
        <w:rPr>
          <w:rFonts w:hint="eastAsia"/>
          <w:sz w:val="30"/>
          <w:szCs w:val="30"/>
        </w:rPr>
        <w:t>构建绿色银行的</w:t>
      </w:r>
      <w:r w:rsidR="009D414E" w:rsidRPr="0071558B">
        <w:rPr>
          <w:rFonts w:hint="eastAsia"/>
          <w:sz w:val="30"/>
          <w:szCs w:val="30"/>
        </w:rPr>
        <w:t>国际</w:t>
      </w:r>
      <w:r w:rsidR="004B212C" w:rsidRPr="0071558B">
        <w:rPr>
          <w:rFonts w:hint="eastAsia"/>
          <w:sz w:val="30"/>
          <w:szCs w:val="30"/>
        </w:rPr>
        <w:t>经验</w:t>
      </w:r>
      <w:r w:rsidR="009D414E" w:rsidRPr="0071558B">
        <w:rPr>
          <w:rFonts w:hint="eastAsia"/>
          <w:sz w:val="30"/>
          <w:szCs w:val="30"/>
        </w:rPr>
        <w:t>可以为</w:t>
      </w:r>
      <w:r w:rsidR="004B212C" w:rsidRPr="0071558B">
        <w:rPr>
          <w:rFonts w:hint="eastAsia"/>
          <w:sz w:val="30"/>
          <w:szCs w:val="30"/>
        </w:rPr>
        <w:t>绿化</w:t>
      </w:r>
      <w:r w:rsidR="009D414E" w:rsidRPr="0071558B">
        <w:rPr>
          <w:rFonts w:hint="eastAsia"/>
          <w:sz w:val="30"/>
          <w:szCs w:val="30"/>
        </w:rPr>
        <w:t>中国的</w:t>
      </w:r>
      <w:r w:rsidR="004B212C" w:rsidRPr="0071558B">
        <w:rPr>
          <w:rFonts w:hint="eastAsia"/>
          <w:sz w:val="30"/>
          <w:szCs w:val="30"/>
        </w:rPr>
        <w:t>金融体系</w:t>
      </w:r>
      <w:r w:rsidR="009D414E" w:rsidRPr="0071558B">
        <w:rPr>
          <w:rFonts w:hint="eastAsia"/>
          <w:sz w:val="30"/>
          <w:szCs w:val="30"/>
        </w:rPr>
        <w:t>提供借鉴。为此，作者</w:t>
      </w:r>
      <w:r w:rsidR="009E5EE4" w:rsidRPr="0071558B">
        <w:rPr>
          <w:rFonts w:hint="eastAsia"/>
          <w:sz w:val="30"/>
          <w:szCs w:val="30"/>
        </w:rPr>
        <w:t>对</w:t>
      </w:r>
      <w:r w:rsidR="004B212C" w:rsidRPr="0071558B">
        <w:rPr>
          <w:rFonts w:hint="eastAsia"/>
          <w:sz w:val="30"/>
          <w:szCs w:val="30"/>
        </w:rPr>
        <w:t>中国设立绿色银行提供以下政策建议：</w:t>
      </w:r>
      <w:r w:rsidR="00DB7A48" w:rsidRPr="0071558B">
        <w:rPr>
          <w:rFonts w:hint="eastAsia"/>
          <w:sz w:val="30"/>
          <w:szCs w:val="30"/>
        </w:rPr>
        <w:t>（</w:t>
      </w:r>
      <w:r w:rsidR="00DB7A48" w:rsidRPr="0071558B">
        <w:rPr>
          <w:rFonts w:hint="eastAsia"/>
          <w:sz w:val="30"/>
          <w:szCs w:val="30"/>
        </w:rPr>
        <w:t>1</w:t>
      </w:r>
      <w:r w:rsidR="00DB7A48" w:rsidRPr="0071558B">
        <w:rPr>
          <w:rFonts w:hint="eastAsia"/>
          <w:sz w:val="30"/>
          <w:szCs w:val="30"/>
        </w:rPr>
        <w:t>）</w:t>
      </w:r>
      <w:r w:rsidR="007F2D01" w:rsidRPr="0071558B">
        <w:rPr>
          <w:sz w:val="30"/>
          <w:szCs w:val="30"/>
        </w:rPr>
        <w:t>“</w:t>
      </w:r>
      <w:r w:rsidR="007F2D01" w:rsidRPr="0071558B">
        <w:rPr>
          <w:rFonts w:hint="eastAsia"/>
          <w:sz w:val="30"/>
          <w:szCs w:val="30"/>
        </w:rPr>
        <w:t>政府主导、市场运作“的顶层设计原则</w:t>
      </w:r>
      <w:r w:rsidR="00DB7A48" w:rsidRPr="0071558B">
        <w:rPr>
          <w:rFonts w:hint="eastAsia"/>
          <w:sz w:val="30"/>
          <w:szCs w:val="30"/>
        </w:rPr>
        <w:t>；（</w:t>
      </w:r>
      <w:r w:rsidR="00DB7A48" w:rsidRPr="0071558B">
        <w:rPr>
          <w:rFonts w:hint="eastAsia"/>
          <w:sz w:val="30"/>
          <w:szCs w:val="30"/>
        </w:rPr>
        <w:t>2</w:t>
      </w:r>
      <w:r w:rsidR="00DB7A48" w:rsidRPr="0071558B">
        <w:rPr>
          <w:rFonts w:hint="eastAsia"/>
          <w:sz w:val="30"/>
          <w:szCs w:val="30"/>
        </w:rPr>
        <w:t>）</w:t>
      </w:r>
      <w:r w:rsidR="007F2D01" w:rsidRPr="0071558B">
        <w:rPr>
          <w:rFonts w:hint="eastAsia"/>
          <w:sz w:val="30"/>
          <w:szCs w:val="30"/>
        </w:rPr>
        <w:t>采取前期财政拨款、后期发型绿色债券的方式融资</w:t>
      </w:r>
      <w:r w:rsidR="00DB7A48" w:rsidRPr="0071558B">
        <w:rPr>
          <w:rFonts w:hint="eastAsia"/>
          <w:sz w:val="30"/>
          <w:szCs w:val="30"/>
        </w:rPr>
        <w:t>；（</w:t>
      </w:r>
      <w:r w:rsidR="00DB7A48" w:rsidRPr="0071558B">
        <w:rPr>
          <w:rFonts w:hint="eastAsia"/>
          <w:sz w:val="30"/>
          <w:szCs w:val="30"/>
        </w:rPr>
        <w:t>3</w:t>
      </w:r>
      <w:r w:rsidR="00DB7A48" w:rsidRPr="0071558B">
        <w:rPr>
          <w:rFonts w:hint="eastAsia"/>
          <w:sz w:val="30"/>
          <w:szCs w:val="30"/>
        </w:rPr>
        <w:t>）</w:t>
      </w:r>
      <w:r w:rsidR="007F2D01" w:rsidRPr="0071558B">
        <w:rPr>
          <w:rFonts w:hint="eastAsia"/>
          <w:sz w:val="30"/>
          <w:szCs w:val="30"/>
        </w:rPr>
        <w:t>用</w:t>
      </w:r>
      <w:r w:rsidR="007F2D01" w:rsidRPr="0071558B">
        <w:rPr>
          <w:rFonts w:hint="eastAsia"/>
          <w:sz w:val="30"/>
          <w:szCs w:val="30"/>
        </w:rPr>
        <w:t>PPP</w:t>
      </w:r>
      <w:r w:rsidR="007F2D01" w:rsidRPr="0071558B">
        <w:rPr>
          <w:rFonts w:hint="eastAsia"/>
          <w:sz w:val="30"/>
          <w:szCs w:val="30"/>
        </w:rPr>
        <w:t>等模式引导私营部门资金进入绿色产业</w:t>
      </w:r>
      <w:r w:rsidR="00DB7A48" w:rsidRPr="0071558B">
        <w:rPr>
          <w:rFonts w:hint="eastAsia"/>
          <w:sz w:val="30"/>
          <w:szCs w:val="30"/>
        </w:rPr>
        <w:t>；（</w:t>
      </w:r>
      <w:r w:rsidR="00DB7A48" w:rsidRPr="0071558B">
        <w:rPr>
          <w:rFonts w:hint="eastAsia"/>
          <w:sz w:val="30"/>
          <w:szCs w:val="30"/>
        </w:rPr>
        <w:t>4</w:t>
      </w:r>
      <w:r w:rsidR="00DB7A48" w:rsidRPr="0071558B">
        <w:rPr>
          <w:rFonts w:hint="eastAsia"/>
          <w:sz w:val="30"/>
          <w:szCs w:val="30"/>
        </w:rPr>
        <w:t>）</w:t>
      </w:r>
      <w:r w:rsidR="007F2D01" w:rsidRPr="0071558B">
        <w:rPr>
          <w:rFonts w:hint="eastAsia"/>
          <w:sz w:val="30"/>
          <w:szCs w:val="30"/>
        </w:rPr>
        <w:t>构建完善的风险管理体系</w:t>
      </w:r>
      <w:r w:rsidR="00DB7A48" w:rsidRPr="0071558B">
        <w:rPr>
          <w:rFonts w:hint="eastAsia"/>
          <w:sz w:val="30"/>
          <w:szCs w:val="30"/>
        </w:rPr>
        <w:t>；（</w:t>
      </w:r>
      <w:r w:rsidR="00DB7A48" w:rsidRPr="0071558B">
        <w:rPr>
          <w:rFonts w:hint="eastAsia"/>
          <w:sz w:val="30"/>
          <w:szCs w:val="30"/>
        </w:rPr>
        <w:t>5</w:t>
      </w:r>
      <w:r w:rsidR="00DB7A48" w:rsidRPr="0071558B">
        <w:rPr>
          <w:rFonts w:hint="eastAsia"/>
          <w:sz w:val="30"/>
          <w:szCs w:val="30"/>
        </w:rPr>
        <w:t>）</w:t>
      </w:r>
      <w:r w:rsidR="007F2D01" w:rsidRPr="0071558B">
        <w:rPr>
          <w:rFonts w:hint="eastAsia"/>
          <w:sz w:val="30"/>
          <w:szCs w:val="30"/>
        </w:rPr>
        <w:t>建立透明的信息公开机制</w:t>
      </w:r>
      <w:r w:rsidR="00DB7A48" w:rsidRPr="0071558B">
        <w:rPr>
          <w:rFonts w:hint="eastAsia"/>
          <w:sz w:val="30"/>
          <w:szCs w:val="30"/>
        </w:rPr>
        <w:t>；（</w:t>
      </w:r>
      <w:r w:rsidR="00DB7A48" w:rsidRPr="0071558B">
        <w:rPr>
          <w:rFonts w:hint="eastAsia"/>
          <w:sz w:val="30"/>
          <w:szCs w:val="30"/>
        </w:rPr>
        <w:t>6</w:t>
      </w:r>
      <w:r w:rsidR="00DB7A48" w:rsidRPr="0071558B">
        <w:rPr>
          <w:rFonts w:hint="eastAsia"/>
          <w:sz w:val="30"/>
          <w:szCs w:val="30"/>
        </w:rPr>
        <w:t>）</w:t>
      </w:r>
      <w:r w:rsidR="007F2D01" w:rsidRPr="0071558B">
        <w:rPr>
          <w:rFonts w:hint="eastAsia"/>
          <w:sz w:val="30"/>
          <w:szCs w:val="30"/>
        </w:rPr>
        <w:t>绿色银行应对私营部门起示范带动作用</w:t>
      </w:r>
      <w:r w:rsidR="00DB7A48" w:rsidRPr="0071558B">
        <w:rPr>
          <w:rFonts w:hint="eastAsia"/>
          <w:sz w:val="30"/>
          <w:szCs w:val="30"/>
        </w:rPr>
        <w:t>。</w:t>
      </w:r>
    </w:p>
    <w:p w:rsidR="008D0AD2" w:rsidRDefault="008D0AD2" w:rsidP="008D0AD2">
      <w:pPr>
        <w:jc w:val="left"/>
      </w:pPr>
    </w:p>
    <w:p w:rsidR="0071558B" w:rsidRDefault="0071558B">
      <w:pPr>
        <w:spacing w:after="200" w:line="276" w:lineRule="auto"/>
        <w:ind w:firstLine="0"/>
        <w:jc w:val="left"/>
        <w:rPr>
          <w:b/>
          <w:szCs w:val="32"/>
        </w:rPr>
      </w:pPr>
      <w:r>
        <w:rPr>
          <w:b/>
          <w:szCs w:val="32"/>
        </w:rPr>
        <w:br w:type="page"/>
      </w:r>
    </w:p>
    <w:p w:rsidR="008D0AD2" w:rsidRPr="008D0AD2" w:rsidRDefault="008D0AD2" w:rsidP="008D0AD2">
      <w:pPr>
        <w:jc w:val="center"/>
        <w:rPr>
          <w:b/>
          <w:szCs w:val="32"/>
        </w:rPr>
      </w:pPr>
      <w:r w:rsidRPr="008D0AD2">
        <w:rPr>
          <w:rFonts w:hint="eastAsia"/>
          <w:b/>
          <w:szCs w:val="32"/>
        </w:rPr>
        <w:lastRenderedPageBreak/>
        <w:t>I</w:t>
      </w:r>
      <w:r w:rsidRPr="008D0AD2">
        <w:rPr>
          <w:b/>
          <w:szCs w:val="32"/>
        </w:rPr>
        <w:t>n</w:t>
      </w:r>
      <w:r w:rsidRPr="008D0AD2">
        <w:rPr>
          <w:rFonts w:hint="eastAsia"/>
          <w:b/>
          <w:szCs w:val="32"/>
        </w:rPr>
        <w:t>ternational Practices and Experience on Green Banks</w:t>
      </w:r>
    </w:p>
    <w:p w:rsidR="00FA5387" w:rsidRPr="00FA5387" w:rsidRDefault="00FA5387" w:rsidP="008D0AD2">
      <w:pPr>
        <w:jc w:val="center"/>
        <w:rPr>
          <w:sz w:val="15"/>
          <w:szCs w:val="15"/>
        </w:rPr>
      </w:pPr>
    </w:p>
    <w:p w:rsidR="002A10AD" w:rsidRDefault="002A10AD" w:rsidP="008D0AD2">
      <w:pPr>
        <w:jc w:val="center"/>
        <w:rPr>
          <w:b/>
        </w:rPr>
      </w:pPr>
      <w:r w:rsidRPr="00BD792F">
        <w:rPr>
          <w:rFonts w:hint="eastAsia"/>
          <w:b/>
        </w:rPr>
        <w:t>Abstract</w:t>
      </w:r>
    </w:p>
    <w:p w:rsidR="007744F7" w:rsidRPr="007744F7" w:rsidRDefault="007744F7" w:rsidP="008D0AD2">
      <w:pPr>
        <w:jc w:val="center"/>
        <w:rPr>
          <w:b/>
          <w:sz w:val="13"/>
          <w:szCs w:val="13"/>
        </w:rPr>
      </w:pPr>
    </w:p>
    <w:p w:rsidR="002A10AD" w:rsidRPr="0071558B" w:rsidRDefault="002A10AD" w:rsidP="00BD792F">
      <w:pPr>
        <w:spacing w:after="200"/>
        <w:ind w:firstLine="0"/>
        <w:rPr>
          <w:sz w:val="30"/>
          <w:szCs w:val="30"/>
        </w:rPr>
      </w:pPr>
      <w:r w:rsidRPr="0071558B">
        <w:rPr>
          <w:sz w:val="30"/>
          <w:szCs w:val="30"/>
        </w:rPr>
        <w:t xml:space="preserve">China has stipulated a series of policies and measures to address climate change, but a significant gap exists in financing the transition towards a low-carbon economy. This memo summarizes international experience on green banks as a new approach to address the financing gap. </w:t>
      </w:r>
    </w:p>
    <w:p w:rsidR="002A10AD" w:rsidRPr="0071558B" w:rsidRDefault="002A10AD" w:rsidP="00BD792F">
      <w:pPr>
        <w:spacing w:after="200"/>
        <w:ind w:firstLine="0"/>
        <w:rPr>
          <w:sz w:val="30"/>
          <w:szCs w:val="30"/>
        </w:rPr>
      </w:pPr>
      <w:r w:rsidRPr="0071558B">
        <w:rPr>
          <w:sz w:val="30"/>
          <w:szCs w:val="30"/>
        </w:rPr>
        <w:t xml:space="preserve">Green banks could effectively mitigate market failures and scale up investment in renewable energy and energy efficiency. These market failures include negative externalities of using fossil fuel, asymmetric information in financing clean technologies, and transaction costs. By looking in depth into two national and three provincial green banks, this memo presents good practices in financing green banks, business models, governance, risk management and investment orientation. </w:t>
      </w:r>
    </w:p>
    <w:p w:rsidR="002A10AD" w:rsidRPr="0071558B" w:rsidRDefault="002A10AD" w:rsidP="00BD792F">
      <w:pPr>
        <w:spacing w:after="200"/>
        <w:ind w:firstLine="0"/>
        <w:rPr>
          <w:sz w:val="30"/>
          <w:szCs w:val="30"/>
        </w:rPr>
      </w:pPr>
      <w:r w:rsidRPr="0071558B">
        <w:rPr>
          <w:sz w:val="30"/>
          <w:szCs w:val="30"/>
        </w:rPr>
        <w:t>The authors believe that the experience of international green banks could benefit China in the effort to green its financial system, and conclude the memo by providing the following policy recommendations to set up a green bank in China:</w:t>
      </w:r>
    </w:p>
    <w:p w:rsidR="002A10AD" w:rsidRPr="0071558B" w:rsidRDefault="002A10AD" w:rsidP="004B212C">
      <w:pPr>
        <w:pStyle w:val="ListParagraph"/>
        <w:numPr>
          <w:ilvl w:val="0"/>
          <w:numId w:val="7"/>
        </w:numPr>
        <w:spacing w:line="300" w:lineRule="auto"/>
        <w:ind w:left="576" w:hanging="576"/>
        <w:rPr>
          <w:sz w:val="30"/>
          <w:szCs w:val="30"/>
        </w:rPr>
      </w:pPr>
      <w:r w:rsidRPr="0071558B">
        <w:rPr>
          <w:sz w:val="30"/>
          <w:szCs w:val="30"/>
        </w:rPr>
        <w:t>Use “Government-led governance, market-based operation” as the principle to design the top-level structure;</w:t>
      </w:r>
    </w:p>
    <w:p w:rsidR="002A10AD" w:rsidRPr="0071558B" w:rsidRDefault="002A10AD" w:rsidP="004B212C">
      <w:pPr>
        <w:pStyle w:val="ListParagraph"/>
        <w:numPr>
          <w:ilvl w:val="0"/>
          <w:numId w:val="7"/>
        </w:numPr>
        <w:spacing w:line="300" w:lineRule="auto"/>
        <w:ind w:left="576" w:hanging="576"/>
        <w:rPr>
          <w:sz w:val="30"/>
          <w:szCs w:val="30"/>
        </w:rPr>
      </w:pPr>
      <w:r w:rsidRPr="0071558B">
        <w:rPr>
          <w:sz w:val="30"/>
          <w:szCs w:val="30"/>
        </w:rPr>
        <w:t>Financing model: initially funded by government, and issue green bonds once in operation;</w:t>
      </w:r>
    </w:p>
    <w:p w:rsidR="002A10AD" w:rsidRPr="0071558B" w:rsidRDefault="002A10AD" w:rsidP="004B212C">
      <w:pPr>
        <w:pStyle w:val="ListParagraph"/>
        <w:numPr>
          <w:ilvl w:val="0"/>
          <w:numId w:val="7"/>
        </w:numPr>
        <w:spacing w:line="300" w:lineRule="auto"/>
        <w:ind w:left="576" w:hanging="576"/>
        <w:rPr>
          <w:sz w:val="30"/>
          <w:szCs w:val="30"/>
        </w:rPr>
      </w:pPr>
      <w:r w:rsidRPr="0071558B">
        <w:rPr>
          <w:sz w:val="30"/>
          <w:szCs w:val="30"/>
        </w:rPr>
        <w:t>Utilize PPP model to attract private capital to green sectors;</w:t>
      </w:r>
    </w:p>
    <w:p w:rsidR="002A10AD" w:rsidRPr="0071558B" w:rsidRDefault="002A10AD" w:rsidP="004B212C">
      <w:pPr>
        <w:pStyle w:val="ListParagraph"/>
        <w:numPr>
          <w:ilvl w:val="0"/>
          <w:numId w:val="7"/>
        </w:numPr>
        <w:spacing w:line="300" w:lineRule="auto"/>
        <w:ind w:left="576" w:hanging="576"/>
        <w:rPr>
          <w:sz w:val="30"/>
          <w:szCs w:val="30"/>
        </w:rPr>
      </w:pPr>
      <w:r w:rsidRPr="0071558B">
        <w:rPr>
          <w:sz w:val="30"/>
          <w:szCs w:val="30"/>
        </w:rPr>
        <w:t>Build a robust risk man</w:t>
      </w:r>
      <w:bookmarkStart w:id="0" w:name="_GoBack"/>
      <w:bookmarkEnd w:id="0"/>
      <w:r w:rsidRPr="0071558B">
        <w:rPr>
          <w:sz w:val="30"/>
          <w:szCs w:val="30"/>
        </w:rPr>
        <w:t xml:space="preserve">agement system; </w:t>
      </w:r>
    </w:p>
    <w:p w:rsidR="002A10AD" w:rsidRPr="0071558B" w:rsidRDefault="002A10AD" w:rsidP="004B212C">
      <w:pPr>
        <w:pStyle w:val="ListParagraph"/>
        <w:numPr>
          <w:ilvl w:val="0"/>
          <w:numId w:val="7"/>
        </w:numPr>
        <w:spacing w:line="300" w:lineRule="auto"/>
        <w:ind w:left="576" w:hanging="576"/>
        <w:rPr>
          <w:sz w:val="30"/>
          <w:szCs w:val="30"/>
        </w:rPr>
      </w:pPr>
      <w:r w:rsidRPr="0071558B">
        <w:rPr>
          <w:sz w:val="30"/>
          <w:szCs w:val="30"/>
        </w:rPr>
        <w:t>Establish transparent information disclosure mechanism; and</w:t>
      </w:r>
    </w:p>
    <w:p w:rsidR="002A10AD" w:rsidRPr="00B36A97" w:rsidRDefault="002A10AD" w:rsidP="004B212C">
      <w:pPr>
        <w:pStyle w:val="ListParagraph"/>
        <w:numPr>
          <w:ilvl w:val="0"/>
          <w:numId w:val="7"/>
        </w:numPr>
        <w:spacing w:line="300" w:lineRule="auto"/>
        <w:ind w:left="576" w:hanging="576"/>
        <w:rPr>
          <w:rFonts w:ascii="黑体" w:eastAsia="黑体" w:hAnsi="黑体" w:cstheme="majorBidi"/>
          <w:sz w:val="36"/>
          <w:szCs w:val="32"/>
        </w:rPr>
      </w:pPr>
      <w:r w:rsidRPr="0071558B">
        <w:rPr>
          <w:sz w:val="30"/>
          <w:szCs w:val="30"/>
        </w:rPr>
        <w:t xml:space="preserve">Objective is to “crowd in” private capital to the green sectors. </w:t>
      </w:r>
      <w:r>
        <w:br w:type="page"/>
      </w:r>
    </w:p>
    <w:p w:rsidR="00160F83" w:rsidRPr="00974FB8" w:rsidRDefault="00C935A8" w:rsidP="00974FB8">
      <w:pPr>
        <w:pStyle w:val="Heading1"/>
      </w:pPr>
      <w:r w:rsidRPr="00974FB8">
        <w:rPr>
          <w:rFonts w:hint="eastAsia"/>
        </w:rPr>
        <w:lastRenderedPageBreak/>
        <w:t>一</w:t>
      </w:r>
      <w:r w:rsidRPr="00974FB8">
        <w:t>、</w:t>
      </w:r>
      <w:r w:rsidR="003B166A" w:rsidRPr="00974FB8">
        <w:rPr>
          <w:rFonts w:hint="eastAsia"/>
        </w:rPr>
        <w:t>设立绿色银行的动机</w:t>
      </w:r>
    </w:p>
    <w:p w:rsidR="00A16A5E" w:rsidRPr="00087EA9" w:rsidRDefault="00A16A5E" w:rsidP="00974FB8">
      <w:pPr>
        <w:pStyle w:val="Heading2"/>
      </w:pPr>
      <w:r w:rsidRPr="00087EA9">
        <w:rPr>
          <w:rFonts w:hint="eastAsia"/>
        </w:rPr>
        <w:t>（</w:t>
      </w:r>
      <w:r w:rsidRPr="00087EA9">
        <w:t>一）</w:t>
      </w:r>
      <w:r w:rsidR="009C5160">
        <w:rPr>
          <w:rFonts w:hint="eastAsia"/>
        </w:rPr>
        <w:t>中国</w:t>
      </w:r>
      <w:r w:rsidRPr="00087EA9">
        <w:t>绿色投资的资金缺口</w:t>
      </w:r>
    </w:p>
    <w:p w:rsidR="0067602F" w:rsidRDefault="006F14F8" w:rsidP="002A10AD">
      <w:r w:rsidRPr="00087EA9">
        <w:rPr>
          <w:rFonts w:hint="eastAsia"/>
        </w:rPr>
        <w:t>应对气候变化</w:t>
      </w:r>
      <w:r w:rsidR="0040663B">
        <w:rPr>
          <w:rFonts w:hint="eastAsia"/>
        </w:rPr>
        <w:t>是</w:t>
      </w:r>
      <w:r w:rsidRPr="00087EA9">
        <w:rPr>
          <w:rFonts w:hint="eastAsia"/>
        </w:rPr>
        <w:t>中国国家发展战略之一</w:t>
      </w:r>
      <w:r w:rsidR="00CA35EA">
        <w:rPr>
          <w:rFonts w:hint="eastAsia"/>
        </w:rPr>
        <w:t>，</w:t>
      </w:r>
      <w:r w:rsidR="00CA35EA">
        <w:t>但中国</w:t>
      </w:r>
      <w:r w:rsidR="00CA35EA">
        <w:rPr>
          <w:rFonts w:hint="eastAsia"/>
        </w:rPr>
        <w:t>在</w:t>
      </w:r>
      <w:r w:rsidR="00CA35EA">
        <w:t>绿色产业</w:t>
      </w:r>
      <w:r w:rsidR="0040663B">
        <w:rPr>
          <w:rFonts w:hint="eastAsia"/>
        </w:rPr>
        <w:t>方面</w:t>
      </w:r>
      <w:r w:rsidR="00CA35EA">
        <w:rPr>
          <w:rFonts w:hint="eastAsia"/>
        </w:rPr>
        <w:t>仍</w:t>
      </w:r>
      <w:r w:rsidR="00CA35EA">
        <w:t>面临巨大的投资缺口</w:t>
      </w:r>
      <w:r w:rsidRPr="00087EA9">
        <w:rPr>
          <w:rFonts w:hint="eastAsia"/>
        </w:rPr>
        <w:t>。</w:t>
      </w:r>
      <w:r w:rsidRPr="00087EA9">
        <w:rPr>
          <w:rFonts w:hint="eastAsia"/>
        </w:rPr>
        <w:t>2014</w:t>
      </w:r>
      <w:r w:rsidRPr="00087EA9">
        <w:rPr>
          <w:rFonts w:hint="eastAsia"/>
        </w:rPr>
        <w:t>年</w:t>
      </w:r>
      <w:r w:rsidRPr="00087EA9">
        <w:rPr>
          <w:rFonts w:hint="eastAsia"/>
        </w:rPr>
        <w:t>9</w:t>
      </w:r>
      <w:r w:rsidRPr="00087EA9">
        <w:rPr>
          <w:rFonts w:hint="eastAsia"/>
        </w:rPr>
        <w:t>月，国家发展和改革委员会印发了《国家应对气候变化规划（</w:t>
      </w:r>
      <w:r w:rsidRPr="00087EA9">
        <w:rPr>
          <w:rFonts w:hint="eastAsia"/>
        </w:rPr>
        <w:t>2014-2020</w:t>
      </w:r>
      <w:r w:rsidRPr="00087EA9">
        <w:rPr>
          <w:rFonts w:hint="eastAsia"/>
        </w:rPr>
        <w:t>年）》，该规划明确了到</w:t>
      </w:r>
      <w:r w:rsidRPr="00087EA9">
        <w:rPr>
          <w:rFonts w:hint="eastAsia"/>
        </w:rPr>
        <w:t>2020</w:t>
      </w:r>
      <w:r w:rsidRPr="00087EA9">
        <w:rPr>
          <w:rFonts w:hint="eastAsia"/>
        </w:rPr>
        <w:t>年单位国内生产总值二氧化碳排放比</w:t>
      </w:r>
      <w:r w:rsidRPr="00087EA9">
        <w:rPr>
          <w:rFonts w:hint="eastAsia"/>
        </w:rPr>
        <w:t>2005</w:t>
      </w:r>
      <w:r w:rsidRPr="00087EA9">
        <w:rPr>
          <w:rFonts w:hint="eastAsia"/>
        </w:rPr>
        <w:t>年下降</w:t>
      </w:r>
      <w:r w:rsidRPr="00087EA9">
        <w:rPr>
          <w:rFonts w:hint="eastAsia"/>
        </w:rPr>
        <w:t>40%-45%</w:t>
      </w:r>
      <w:r w:rsidRPr="00087EA9">
        <w:rPr>
          <w:rFonts w:hint="eastAsia"/>
        </w:rPr>
        <w:t>，非化石能源占一次能源消费的比重到</w:t>
      </w:r>
      <w:r w:rsidRPr="00087EA9">
        <w:rPr>
          <w:rFonts w:hint="eastAsia"/>
        </w:rPr>
        <w:t>15%</w:t>
      </w:r>
      <w:r w:rsidRPr="00087EA9">
        <w:rPr>
          <w:rFonts w:hint="eastAsia"/>
        </w:rPr>
        <w:t>左右。</w:t>
      </w:r>
      <w:r w:rsidRPr="00087EA9">
        <w:rPr>
          <w:rFonts w:hint="eastAsia"/>
        </w:rPr>
        <w:t>2014</w:t>
      </w:r>
      <w:r w:rsidRPr="00087EA9">
        <w:rPr>
          <w:rFonts w:hint="eastAsia"/>
        </w:rPr>
        <w:t>年</w:t>
      </w:r>
      <w:r w:rsidRPr="00087EA9">
        <w:rPr>
          <w:rFonts w:hint="eastAsia"/>
        </w:rPr>
        <w:t>11</w:t>
      </w:r>
      <w:r w:rsidRPr="00087EA9">
        <w:rPr>
          <w:rFonts w:hint="eastAsia"/>
        </w:rPr>
        <w:t>月，中美联合发布应对气候变化联合声明，中方正式提出到</w:t>
      </w:r>
      <w:r w:rsidRPr="00087EA9">
        <w:rPr>
          <w:rFonts w:hint="eastAsia"/>
        </w:rPr>
        <w:t>2030</w:t>
      </w:r>
      <w:r w:rsidRPr="00087EA9">
        <w:rPr>
          <w:rFonts w:hint="eastAsia"/>
        </w:rPr>
        <w:t>年中国碳排放达到峰值，并将非化石能源在一次能源的比重提升到</w:t>
      </w:r>
      <w:r w:rsidRPr="00087EA9">
        <w:rPr>
          <w:rFonts w:hint="eastAsia"/>
        </w:rPr>
        <w:t>20%</w:t>
      </w:r>
      <w:r w:rsidRPr="00087EA9">
        <w:rPr>
          <w:rFonts w:hint="eastAsia"/>
        </w:rPr>
        <w:t>。</w:t>
      </w:r>
    </w:p>
    <w:p w:rsidR="00F042EF" w:rsidRDefault="00F042EF" w:rsidP="002A10AD">
      <w:r w:rsidRPr="00087EA9">
        <w:rPr>
          <w:rFonts w:hint="eastAsia"/>
        </w:rPr>
        <w:t>实现预定的二</w:t>
      </w:r>
      <w:r w:rsidR="00382311">
        <w:rPr>
          <w:rFonts w:hint="eastAsia"/>
        </w:rPr>
        <w:t>氧化碳减排目标和提高非化石能源的消费比重意味着中国需要新增大量</w:t>
      </w:r>
      <w:r w:rsidRPr="00087EA9">
        <w:rPr>
          <w:rFonts w:hint="eastAsia"/>
        </w:rPr>
        <w:t>投资。虽然中国在</w:t>
      </w:r>
      <w:r w:rsidR="00382311">
        <w:rPr>
          <w:rFonts w:hint="eastAsia"/>
        </w:rPr>
        <w:t>过去几年来已经</w:t>
      </w:r>
      <w:r w:rsidRPr="00087EA9">
        <w:rPr>
          <w:rFonts w:hint="eastAsia"/>
        </w:rPr>
        <w:t>增加了应对气候变化领域的投资，包括通过开展</w:t>
      </w:r>
      <w:r w:rsidRPr="00087EA9">
        <w:rPr>
          <w:rFonts w:hint="eastAsia"/>
        </w:rPr>
        <w:t>CDM</w:t>
      </w:r>
      <w:r w:rsidRPr="00087EA9">
        <w:rPr>
          <w:rFonts w:hint="eastAsia"/>
        </w:rPr>
        <w:t>项目合作获得发达国家的资金和技术支持、国家财政支持节能减排</w:t>
      </w:r>
      <w:r w:rsidR="0040663B">
        <w:rPr>
          <w:rFonts w:hint="eastAsia"/>
        </w:rPr>
        <w:t>和新能源领域和推动银行开展绿色信贷业务等。但中</w:t>
      </w:r>
      <w:r w:rsidRPr="00087EA9">
        <w:rPr>
          <w:rFonts w:hint="eastAsia"/>
        </w:rPr>
        <w:t>央财经大学和气候组织</w:t>
      </w:r>
      <w:r w:rsidR="00382311">
        <w:rPr>
          <w:rFonts w:hint="eastAsia"/>
        </w:rPr>
        <w:t>最新</w:t>
      </w:r>
      <w:r w:rsidRPr="00087EA9">
        <w:rPr>
          <w:rFonts w:hint="eastAsia"/>
        </w:rPr>
        <w:t>的研究报告《中国应对气候变化融资策略》</w:t>
      </w:r>
      <w:r w:rsidR="00382311">
        <w:rPr>
          <w:rFonts w:hint="eastAsia"/>
        </w:rPr>
        <w:t>显示</w:t>
      </w:r>
      <w:r w:rsidRPr="00087EA9">
        <w:rPr>
          <w:rFonts w:hint="eastAsia"/>
        </w:rPr>
        <w:t>，仅气候融资这一项，中国在</w:t>
      </w:r>
      <w:r w:rsidRPr="00087EA9">
        <w:rPr>
          <w:rFonts w:hint="eastAsia"/>
        </w:rPr>
        <w:t>2015</w:t>
      </w:r>
      <w:r w:rsidRPr="00087EA9">
        <w:rPr>
          <w:rFonts w:hint="eastAsia"/>
        </w:rPr>
        <w:t>年就将面临</w:t>
      </w:r>
      <w:r w:rsidRPr="00087EA9">
        <w:rPr>
          <w:rFonts w:hint="eastAsia"/>
        </w:rPr>
        <w:t>1.2</w:t>
      </w:r>
      <w:r w:rsidR="00382311">
        <w:rPr>
          <w:rFonts w:hint="eastAsia"/>
        </w:rPr>
        <w:t>万亿元的</w:t>
      </w:r>
      <w:r w:rsidRPr="00087EA9">
        <w:rPr>
          <w:rFonts w:hint="eastAsia"/>
        </w:rPr>
        <w:t>资金缺口，相当于</w:t>
      </w:r>
      <w:r w:rsidRPr="00087EA9">
        <w:rPr>
          <w:rFonts w:hint="eastAsia"/>
        </w:rPr>
        <w:t>2015</w:t>
      </w:r>
      <w:r w:rsidRPr="00087EA9">
        <w:rPr>
          <w:rFonts w:hint="eastAsia"/>
        </w:rPr>
        <w:t>年中国</w:t>
      </w:r>
      <w:r w:rsidRPr="00087EA9">
        <w:rPr>
          <w:rFonts w:hint="eastAsia"/>
        </w:rPr>
        <w:t>GDP</w:t>
      </w:r>
      <w:r w:rsidRPr="00087EA9">
        <w:rPr>
          <w:rFonts w:hint="eastAsia"/>
        </w:rPr>
        <w:t>总量的</w:t>
      </w:r>
      <w:r w:rsidRPr="00087EA9">
        <w:rPr>
          <w:rFonts w:hint="eastAsia"/>
        </w:rPr>
        <w:t>1.88%</w:t>
      </w:r>
      <w:r w:rsidRPr="00087EA9">
        <w:rPr>
          <w:rFonts w:hint="eastAsia"/>
        </w:rPr>
        <w:t>。</w:t>
      </w:r>
    </w:p>
    <w:p w:rsidR="0000444C" w:rsidRPr="00087EA9" w:rsidRDefault="0000444C" w:rsidP="002A10AD">
      <w:r>
        <w:rPr>
          <w:rFonts w:hint="eastAsia"/>
        </w:rPr>
        <w:t>中国</w:t>
      </w:r>
      <w:r>
        <w:t>不仅在应对气候变化方面</w:t>
      </w:r>
      <w:r>
        <w:rPr>
          <w:rFonts w:hint="eastAsia"/>
        </w:rPr>
        <w:t>投资</w:t>
      </w:r>
      <w:r>
        <w:t>不足，</w:t>
      </w:r>
      <w:r>
        <w:rPr>
          <w:rFonts w:hint="eastAsia"/>
        </w:rPr>
        <w:t>环保行业</w:t>
      </w:r>
      <w:r>
        <w:t>也面临着巨大的投资缺口。</w:t>
      </w:r>
      <w:r>
        <w:rPr>
          <w:rFonts w:hint="eastAsia"/>
        </w:rPr>
        <w:t>自</w:t>
      </w:r>
      <w:r>
        <w:rPr>
          <w:rFonts w:hint="eastAsia"/>
        </w:rPr>
        <w:t>2012</w:t>
      </w:r>
      <w:r>
        <w:rPr>
          <w:rFonts w:hint="eastAsia"/>
        </w:rPr>
        <w:t>年中国</w:t>
      </w:r>
      <w:r>
        <w:t>共产党第十八次全国</w:t>
      </w:r>
      <w:r>
        <w:rPr>
          <w:rFonts w:hint="eastAsia"/>
        </w:rPr>
        <w:t>代表</w:t>
      </w:r>
      <w:r>
        <w:t>大会</w:t>
      </w:r>
      <w:r>
        <w:rPr>
          <w:rFonts w:hint="eastAsia"/>
        </w:rPr>
        <w:t>以来</w:t>
      </w:r>
      <w:r>
        <w:t>，中国</w:t>
      </w:r>
      <w:r>
        <w:rPr>
          <w:rFonts w:hint="eastAsia"/>
        </w:rPr>
        <w:t>出台</w:t>
      </w:r>
      <w:r>
        <w:t>了多项政策</w:t>
      </w:r>
      <w:r>
        <w:rPr>
          <w:rFonts w:hint="eastAsia"/>
        </w:rPr>
        <w:t>治理</w:t>
      </w:r>
      <w:r>
        <w:t>环境污染</w:t>
      </w:r>
      <w:r>
        <w:rPr>
          <w:rFonts w:hint="eastAsia"/>
        </w:rPr>
        <w:t>。</w:t>
      </w:r>
      <w:r>
        <w:rPr>
          <w:rFonts w:hint="eastAsia"/>
        </w:rPr>
        <w:t>2013</w:t>
      </w:r>
      <w:r>
        <w:rPr>
          <w:rFonts w:hint="eastAsia"/>
        </w:rPr>
        <w:t>年</w:t>
      </w:r>
      <w:r>
        <w:t>国务院</w:t>
      </w:r>
      <w:r>
        <w:rPr>
          <w:rFonts w:hint="eastAsia"/>
        </w:rPr>
        <w:t>制定</w:t>
      </w:r>
      <w:r>
        <w:t>并通过了</w:t>
      </w:r>
      <w:r>
        <w:rPr>
          <w:rFonts w:hint="eastAsia"/>
        </w:rPr>
        <w:t>《大气</w:t>
      </w:r>
      <w:r>
        <w:t>污染防治行动计划》</w:t>
      </w:r>
      <w:r>
        <w:rPr>
          <w:rFonts w:hint="eastAsia"/>
        </w:rPr>
        <w:t>。</w:t>
      </w:r>
      <w:r>
        <w:t>《</w:t>
      </w:r>
      <w:r>
        <w:rPr>
          <w:rFonts w:hint="eastAsia"/>
        </w:rPr>
        <w:t>水</w:t>
      </w:r>
      <w:r>
        <w:t>污染防治</w:t>
      </w:r>
      <w:r>
        <w:rPr>
          <w:rFonts w:hint="eastAsia"/>
        </w:rPr>
        <w:t>行动</w:t>
      </w:r>
      <w:r>
        <w:t>计划》</w:t>
      </w:r>
      <w:r w:rsidR="0040663B">
        <w:rPr>
          <w:rFonts w:hint="eastAsia"/>
        </w:rPr>
        <w:t>和</w:t>
      </w:r>
      <w:r>
        <w:rPr>
          <w:rFonts w:hint="eastAsia"/>
        </w:rPr>
        <w:lastRenderedPageBreak/>
        <w:t>修订</w:t>
      </w:r>
      <w:r>
        <w:t>后的《</w:t>
      </w:r>
      <w:r>
        <w:rPr>
          <w:rFonts w:hint="eastAsia"/>
        </w:rPr>
        <w:t>中华</w:t>
      </w:r>
      <w:r>
        <w:t>人民共和国大气污染防治法》</w:t>
      </w:r>
      <w:r>
        <w:rPr>
          <w:rFonts w:hint="eastAsia"/>
        </w:rPr>
        <w:t>预计</w:t>
      </w:r>
      <w:r w:rsidR="0040663B">
        <w:rPr>
          <w:rFonts w:hint="eastAsia"/>
        </w:rPr>
        <w:t>于</w:t>
      </w:r>
      <w:r w:rsidR="0040663B">
        <w:rPr>
          <w:rFonts w:hint="eastAsia"/>
        </w:rPr>
        <w:t>2</w:t>
      </w:r>
      <w:r>
        <w:rPr>
          <w:rFonts w:hint="eastAsia"/>
        </w:rPr>
        <w:t>015</w:t>
      </w:r>
      <w:r>
        <w:rPr>
          <w:rFonts w:hint="eastAsia"/>
        </w:rPr>
        <w:t>年</w:t>
      </w:r>
      <w:r>
        <w:t>出台。</w:t>
      </w:r>
      <w:r>
        <w:rPr>
          <w:rFonts w:hint="eastAsia"/>
        </w:rPr>
        <w:t>随着</w:t>
      </w:r>
      <w:r>
        <w:t>政策</w:t>
      </w:r>
      <w:r w:rsidR="0040663B">
        <w:rPr>
          <w:rFonts w:hint="eastAsia"/>
        </w:rPr>
        <w:t>的</w:t>
      </w:r>
      <w:r>
        <w:t>持续支持、治理领域和投资需求</w:t>
      </w:r>
      <w:r w:rsidR="0040663B">
        <w:rPr>
          <w:rFonts w:hint="eastAsia"/>
        </w:rPr>
        <w:t>的</w:t>
      </w:r>
      <w:r>
        <w:t>不断</w:t>
      </w:r>
      <w:r>
        <w:rPr>
          <w:rFonts w:hint="eastAsia"/>
        </w:rPr>
        <w:t>扩大</w:t>
      </w:r>
      <w:r>
        <w:t>，环保</w:t>
      </w:r>
      <w:r>
        <w:rPr>
          <w:rFonts w:hint="eastAsia"/>
        </w:rPr>
        <w:t>行业</w:t>
      </w:r>
      <w:r>
        <w:t>的投资缺口也将不断扩大。</w:t>
      </w:r>
      <w:r>
        <w:rPr>
          <w:rFonts w:hint="eastAsia"/>
        </w:rPr>
        <w:t>《</w:t>
      </w:r>
      <w:r w:rsidRPr="0000444C">
        <w:rPr>
          <w:rFonts w:hint="eastAsia"/>
        </w:rPr>
        <w:t>国家环境保护“十二五”规划</w:t>
      </w:r>
      <w:r>
        <w:t>》</w:t>
      </w:r>
      <w:r>
        <w:rPr>
          <w:rFonts w:hint="eastAsia"/>
        </w:rPr>
        <w:t>显示</w:t>
      </w:r>
      <w:r>
        <w:t>，</w:t>
      </w:r>
      <w:r>
        <w:t>“</w:t>
      </w:r>
      <w:r>
        <w:rPr>
          <w:rFonts w:hint="eastAsia"/>
        </w:rPr>
        <w:t>十二五</w:t>
      </w:r>
      <w:r>
        <w:t>”</w:t>
      </w:r>
      <w:r>
        <w:rPr>
          <w:rFonts w:hint="eastAsia"/>
        </w:rPr>
        <w:t>期间</w:t>
      </w:r>
      <w:r w:rsidR="00A73193">
        <w:rPr>
          <w:rFonts w:hint="eastAsia"/>
        </w:rPr>
        <w:t>中</w:t>
      </w:r>
      <w:r>
        <w:t>国环保行业</w:t>
      </w:r>
      <w:r>
        <w:rPr>
          <w:rFonts w:hint="eastAsia"/>
        </w:rPr>
        <w:t>全社会</w:t>
      </w:r>
      <w:r>
        <w:t>投资将达</w:t>
      </w:r>
      <w:r>
        <w:rPr>
          <w:rFonts w:hint="eastAsia"/>
        </w:rPr>
        <w:t>3.4</w:t>
      </w:r>
      <w:r>
        <w:rPr>
          <w:rFonts w:hint="eastAsia"/>
        </w:rPr>
        <w:t>万亿元</w:t>
      </w:r>
      <w:r>
        <w:t>，</w:t>
      </w:r>
      <w:r>
        <w:rPr>
          <w:rFonts w:hint="eastAsia"/>
        </w:rPr>
        <w:t>年均</w:t>
      </w:r>
      <w:r>
        <w:t>投资额</w:t>
      </w:r>
      <w:r>
        <w:rPr>
          <w:rFonts w:hint="eastAsia"/>
        </w:rPr>
        <w:t>6800</w:t>
      </w:r>
      <w:r>
        <w:rPr>
          <w:rFonts w:hint="eastAsia"/>
        </w:rPr>
        <w:t>亿元</w:t>
      </w:r>
      <w:r>
        <w:t>，</w:t>
      </w:r>
      <w:r>
        <w:rPr>
          <w:rFonts w:hint="eastAsia"/>
        </w:rPr>
        <w:t>相当于</w:t>
      </w:r>
      <w:r>
        <w:t>每年至少有</w:t>
      </w:r>
      <w:r>
        <w:rPr>
          <w:rFonts w:hint="eastAsia"/>
        </w:rPr>
        <w:t>4000</w:t>
      </w:r>
      <w:r>
        <w:rPr>
          <w:rFonts w:hint="eastAsia"/>
        </w:rPr>
        <w:t>亿</w:t>
      </w:r>
      <w:r>
        <w:t>缺口需要社会资金填补。</w:t>
      </w:r>
    </w:p>
    <w:p w:rsidR="00F042EF" w:rsidRPr="00087EA9" w:rsidRDefault="00F042EF" w:rsidP="002A10AD">
      <w:r w:rsidRPr="00087EA9">
        <w:rPr>
          <w:rFonts w:hint="eastAsia"/>
        </w:rPr>
        <w:t>以</w:t>
      </w:r>
      <w:r w:rsidRPr="00087EA9">
        <w:rPr>
          <w:rFonts w:hint="eastAsia"/>
        </w:rPr>
        <w:t>PPP</w:t>
      </w:r>
      <w:r w:rsidRPr="00087EA9">
        <w:rPr>
          <w:rFonts w:hint="eastAsia"/>
        </w:rPr>
        <w:t>模式（</w:t>
      </w:r>
      <w:r w:rsidRPr="00087EA9">
        <w:rPr>
          <w:rFonts w:hint="eastAsia"/>
        </w:rPr>
        <w:t>Public Private Partnership</w:t>
      </w:r>
      <w:r w:rsidR="008C7B63" w:rsidRPr="00087EA9">
        <w:rPr>
          <w:rFonts w:hint="eastAsia"/>
        </w:rPr>
        <w:t>，即公共部门与私人企业合作模式）成立</w:t>
      </w:r>
      <w:r w:rsidR="007E2B43" w:rsidRPr="00087EA9">
        <w:rPr>
          <w:rFonts w:hint="eastAsia"/>
        </w:rPr>
        <w:t>的绿色银行，将成为一种新的金融机构</w:t>
      </w:r>
      <w:r w:rsidR="00382311">
        <w:rPr>
          <w:rFonts w:hint="eastAsia"/>
        </w:rPr>
        <w:t>、</w:t>
      </w:r>
      <w:r w:rsidR="007E2B43" w:rsidRPr="00087EA9">
        <w:rPr>
          <w:rFonts w:hint="eastAsia"/>
        </w:rPr>
        <w:t>使用新的</w:t>
      </w:r>
      <w:r w:rsidR="008C7B63" w:rsidRPr="00087EA9">
        <w:rPr>
          <w:rFonts w:hint="eastAsia"/>
        </w:rPr>
        <w:t>融资模式来吸引和撬动潜在私人</w:t>
      </w:r>
      <w:r w:rsidR="0040663B">
        <w:rPr>
          <w:rFonts w:hint="eastAsia"/>
        </w:rPr>
        <w:t>资本进入绿色环保产业。尽管私营企业通常对投资绿色产业感兴趣，但信</w:t>
      </w:r>
      <w:r w:rsidR="008C7B63" w:rsidRPr="00087EA9">
        <w:rPr>
          <w:rFonts w:hint="eastAsia"/>
        </w:rPr>
        <w:t>息不足及信息不对称等原因造成的市</w:t>
      </w:r>
      <w:r w:rsidR="00FF0027">
        <w:rPr>
          <w:rFonts w:hint="eastAsia"/>
        </w:rPr>
        <w:t>场失灵，使得私营企业由于风险太高而过于谨慎，</w:t>
      </w:r>
      <w:r w:rsidR="0040663B">
        <w:rPr>
          <w:rFonts w:hint="eastAsia"/>
        </w:rPr>
        <w:t>导致</w:t>
      </w:r>
      <w:r w:rsidR="00FF0027">
        <w:rPr>
          <w:rFonts w:hint="eastAsia"/>
        </w:rPr>
        <w:t>投资不足。下一节</w:t>
      </w:r>
      <w:r w:rsidR="008C7B63" w:rsidRPr="00087EA9">
        <w:rPr>
          <w:rFonts w:hint="eastAsia"/>
        </w:rPr>
        <w:t>将从经济学角度分析设立绿色银行的动机。</w:t>
      </w:r>
    </w:p>
    <w:p w:rsidR="00E56CD6" w:rsidRPr="00087EA9" w:rsidRDefault="00A16A5E" w:rsidP="005E19DD">
      <w:pPr>
        <w:pStyle w:val="Heading2"/>
      </w:pPr>
      <w:r w:rsidRPr="00087EA9">
        <w:rPr>
          <w:rFonts w:hint="eastAsia"/>
        </w:rPr>
        <w:t>（二</w:t>
      </w:r>
      <w:r w:rsidRPr="00087EA9">
        <w:t>）</w:t>
      </w:r>
      <w:r w:rsidR="0067602F" w:rsidRPr="00087EA9">
        <w:rPr>
          <w:rFonts w:hint="eastAsia"/>
        </w:rPr>
        <w:t>市场失灵</w:t>
      </w:r>
    </w:p>
    <w:p w:rsidR="0067602F" w:rsidRPr="00087EA9" w:rsidRDefault="00CA35EA" w:rsidP="002A10AD">
      <w:r>
        <w:rPr>
          <w:rFonts w:hint="eastAsia"/>
        </w:rPr>
        <w:t>新古典经济学认为，如果市场能够有效的配置资源，那么社会</w:t>
      </w:r>
      <w:r w:rsidR="00B02E15" w:rsidRPr="00087EA9">
        <w:rPr>
          <w:rFonts w:hint="eastAsia"/>
        </w:rPr>
        <w:t>将达到“帕累托最优”（</w:t>
      </w:r>
      <w:r w:rsidR="00B02E15" w:rsidRPr="00087EA9">
        <w:rPr>
          <w:rFonts w:hint="eastAsia"/>
        </w:rPr>
        <w:t>Pareto Optimality</w:t>
      </w:r>
      <w:r w:rsidR="00B02E15" w:rsidRPr="00087EA9">
        <w:rPr>
          <w:rFonts w:hint="eastAsia"/>
        </w:rPr>
        <w:t>）的状态，即在</w:t>
      </w:r>
      <w:r w:rsidR="005B74DD" w:rsidRPr="00087EA9">
        <w:rPr>
          <w:rFonts w:hint="eastAsia"/>
        </w:rPr>
        <w:t>不</w:t>
      </w:r>
      <w:r w:rsidR="00257C65" w:rsidRPr="00087EA9">
        <w:rPr>
          <w:rFonts w:hint="eastAsia"/>
        </w:rPr>
        <w:t>使任何人境况变</w:t>
      </w:r>
      <w:r w:rsidR="0040663B">
        <w:rPr>
          <w:rFonts w:hint="eastAsia"/>
        </w:rPr>
        <w:t>坏</w:t>
      </w:r>
      <w:r w:rsidR="00257C65" w:rsidRPr="00087EA9">
        <w:rPr>
          <w:rFonts w:hint="eastAsia"/>
        </w:rPr>
        <w:t>的前提下，</w:t>
      </w:r>
      <w:r w:rsidR="00B02E15" w:rsidRPr="00087EA9">
        <w:rPr>
          <w:rFonts w:hint="eastAsia"/>
        </w:rPr>
        <w:t>无法通过资源再分配使得</w:t>
      </w:r>
      <w:r w:rsidR="00257C65" w:rsidRPr="00087EA9">
        <w:rPr>
          <w:rFonts w:hint="eastAsia"/>
        </w:rPr>
        <w:t>另</w:t>
      </w:r>
      <w:r w:rsidR="00B02E15" w:rsidRPr="00087EA9">
        <w:rPr>
          <w:rFonts w:hint="eastAsia"/>
        </w:rPr>
        <w:t>一</w:t>
      </w:r>
      <w:r w:rsidR="00257C65" w:rsidRPr="00087EA9">
        <w:rPr>
          <w:rFonts w:hint="eastAsia"/>
        </w:rPr>
        <w:t>个人变得更好。当资源没有</w:t>
      </w:r>
      <w:r w:rsidR="005B74DD" w:rsidRPr="00087EA9">
        <w:rPr>
          <w:rFonts w:hint="eastAsia"/>
        </w:rPr>
        <w:t>得到</w:t>
      </w:r>
      <w:r w:rsidR="00257C65" w:rsidRPr="00087EA9">
        <w:rPr>
          <w:rFonts w:hint="eastAsia"/>
        </w:rPr>
        <w:t>有效配置时，就称之为市场失灵。在绿色投资领域，</w:t>
      </w:r>
      <w:r w:rsidR="008729EC" w:rsidRPr="00087EA9">
        <w:rPr>
          <w:rFonts w:hint="eastAsia"/>
        </w:rPr>
        <w:t>由于</w:t>
      </w:r>
      <w:r w:rsidR="008729EC" w:rsidRPr="00087EA9">
        <w:t>市场失灵，使得投资于</w:t>
      </w:r>
      <w:r w:rsidR="008729EC" w:rsidRPr="00087EA9">
        <w:rPr>
          <w:rFonts w:hint="eastAsia"/>
        </w:rPr>
        <w:t>节能</w:t>
      </w:r>
      <w:r w:rsidR="008729EC" w:rsidRPr="00087EA9">
        <w:t>减排</w:t>
      </w:r>
      <w:r w:rsidR="008729EC" w:rsidRPr="00087EA9">
        <w:rPr>
          <w:rFonts w:hint="eastAsia"/>
        </w:rPr>
        <w:t>和</w:t>
      </w:r>
      <w:r w:rsidR="008729EC" w:rsidRPr="00087EA9">
        <w:t>新能源领域的资金大幅低于</w:t>
      </w:r>
      <w:r w:rsidR="008729EC" w:rsidRPr="00087EA9">
        <w:rPr>
          <w:rFonts w:hint="eastAsia"/>
        </w:rPr>
        <w:t>政府</w:t>
      </w:r>
      <w:r w:rsidR="008729EC" w:rsidRPr="00087EA9">
        <w:t>预期和</w:t>
      </w:r>
      <w:r w:rsidR="008729EC" w:rsidRPr="00087EA9">
        <w:rPr>
          <w:rFonts w:hint="eastAsia"/>
        </w:rPr>
        <w:t>社会</w:t>
      </w:r>
      <w:r w:rsidR="008729EC" w:rsidRPr="00087EA9">
        <w:t>所需</w:t>
      </w:r>
      <w:r>
        <w:rPr>
          <w:rFonts w:hint="eastAsia"/>
        </w:rPr>
        <w:t>。</w:t>
      </w:r>
      <w:r>
        <w:t>造成</w:t>
      </w:r>
      <w:r>
        <w:rPr>
          <w:rFonts w:hint="eastAsia"/>
        </w:rPr>
        <w:t>市场</w:t>
      </w:r>
      <w:r>
        <w:t>失灵的</w:t>
      </w:r>
      <w:r w:rsidR="008729EC" w:rsidRPr="00087EA9">
        <w:rPr>
          <w:rFonts w:hint="eastAsia"/>
        </w:rPr>
        <w:t>主要原因</w:t>
      </w:r>
      <w:r w:rsidR="00382311">
        <w:rPr>
          <w:rFonts w:hint="eastAsia"/>
        </w:rPr>
        <w:t>有</w:t>
      </w:r>
      <w:r w:rsidR="00257C65" w:rsidRPr="00087EA9">
        <w:rPr>
          <w:rFonts w:hint="eastAsia"/>
        </w:rPr>
        <w:t>外部性、信息不对称和交易成本。</w:t>
      </w:r>
      <w:r w:rsidR="008729EC" w:rsidRPr="00087EA9">
        <w:rPr>
          <w:rFonts w:hint="eastAsia"/>
        </w:rPr>
        <w:t>设立绿色</w:t>
      </w:r>
      <w:r w:rsidR="00382311">
        <w:t>银行能够有效</w:t>
      </w:r>
      <w:r w:rsidR="0040663B">
        <w:rPr>
          <w:rFonts w:hint="eastAsia"/>
        </w:rPr>
        <w:t>减轻</w:t>
      </w:r>
      <w:r w:rsidR="008729EC" w:rsidRPr="00087EA9">
        <w:t>市场失灵，</w:t>
      </w:r>
      <w:r w:rsidR="008729EC" w:rsidRPr="00087EA9">
        <w:rPr>
          <w:rFonts w:hint="eastAsia"/>
        </w:rPr>
        <w:t>缩小</w:t>
      </w:r>
      <w:r w:rsidR="008729EC" w:rsidRPr="00087EA9">
        <w:t>投资缺口。</w:t>
      </w:r>
    </w:p>
    <w:p w:rsidR="00A16A5E" w:rsidRPr="00087EA9" w:rsidRDefault="00A16A5E" w:rsidP="005E19DD">
      <w:pPr>
        <w:pStyle w:val="Heading3"/>
      </w:pPr>
      <w:r w:rsidRPr="00087EA9">
        <w:rPr>
          <w:rFonts w:hint="eastAsia"/>
        </w:rPr>
        <w:lastRenderedPageBreak/>
        <w:t>1</w:t>
      </w:r>
      <w:r w:rsidRPr="00087EA9">
        <w:rPr>
          <w:rFonts w:hint="eastAsia"/>
        </w:rPr>
        <w:t>、</w:t>
      </w:r>
      <w:r w:rsidRPr="00087EA9">
        <w:t>外部性</w:t>
      </w:r>
    </w:p>
    <w:p w:rsidR="005B74DD" w:rsidRPr="00087EA9" w:rsidRDefault="009968E9" w:rsidP="002A10AD">
      <w:r w:rsidRPr="00087EA9">
        <w:rPr>
          <w:rFonts w:hint="eastAsia"/>
        </w:rPr>
        <w:t>外部性</w:t>
      </w:r>
      <w:r w:rsidRPr="00087EA9">
        <w:t>是指</w:t>
      </w:r>
      <w:r w:rsidRPr="00087EA9">
        <w:rPr>
          <w:rFonts w:hint="eastAsia"/>
        </w:rPr>
        <w:t>经济</w:t>
      </w:r>
      <w:r w:rsidRPr="00087EA9">
        <w:t>主体（</w:t>
      </w:r>
      <w:r w:rsidRPr="00087EA9">
        <w:rPr>
          <w:rFonts w:hint="eastAsia"/>
        </w:rPr>
        <w:t>包括</w:t>
      </w:r>
      <w:r w:rsidRPr="00087EA9">
        <w:t>厂商和个人）的行为对社会或者其他个人造成了影响，而这种影响却没有反映在市场价格之中</w:t>
      </w:r>
      <w:r w:rsidRPr="00087EA9">
        <w:rPr>
          <w:rFonts w:hint="eastAsia"/>
        </w:rPr>
        <w:t>。在</w:t>
      </w:r>
      <w:r w:rsidRPr="00087EA9">
        <w:t>本文中，外部性主要是指企业</w:t>
      </w:r>
      <w:r w:rsidRPr="00087EA9">
        <w:rPr>
          <w:rFonts w:hint="eastAsia"/>
        </w:rPr>
        <w:t>对</w:t>
      </w:r>
      <w:r w:rsidRPr="00087EA9">
        <w:t>环境</w:t>
      </w:r>
      <w:r w:rsidRPr="00087EA9">
        <w:rPr>
          <w:rFonts w:hint="eastAsia"/>
        </w:rPr>
        <w:t>造成</w:t>
      </w:r>
      <w:r w:rsidR="00382311">
        <w:t>的污染没有反映到企业</w:t>
      </w:r>
      <w:r w:rsidRPr="00087EA9">
        <w:t>产品</w:t>
      </w:r>
      <w:r w:rsidR="00382311">
        <w:rPr>
          <w:rFonts w:hint="eastAsia"/>
        </w:rPr>
        <w:t>的</w:t>
      </w:r>
      <w:r w:rsidR="00382311">
        <w:t>价格</w:t>
      </w:r>
      <w:r w:rsidRPr="00087EA9">
        <w:t>中</w:t>
      </w:r>
      <w:r w:rsidRPr="00087EA9">
        <w:rPr>
          <w:rFonts w:hint="eastAsia"/>
        </w:rPr>
        <w:t>。例如，</w:t>
      </w:r>
      <w:r w:rsidRPr="00087EA9">
        <w:t>一家</w:t>
      </w:r>
      <w:r w:rsidRPr="00087EA9">
        <w:rPr>
          <w:rFonts w:hint="eastAsia"/>
        </w:rPr>
        <w:t>火电</w:t>
      </w:r>
      <w:r w:rsidRPr="00087EA9">
        <w:t>企业</w:t>
      </w:r>
      <w:r w:rsidRPr="00087EA9">
        <w:rPr>
          <w:rFonts w:hint="eastAsia"/>
        </w:rPr>
        <w:t>通过</w:t>
      </w:r>
      <w:r w:rsidRPr="00087EA9">
        <w:t>燃烧煤发电并向环境中</w:t>
      </w:r>
      <w:r w:rsidRPr="00087EA9">
        <w:rPr>
          <w:rFonts w:hint="eastAsia"/>
        </w:rPr>
        <w:t>排放</w:t>
      </w:r>
      <w:r w:rsidRPr="00087EA9">
        <w:t>可吸入颗粒、温室气体等</w:t>
      </w:r>
      <w:r w:rsidRPr="00087EA9">
        <w:rPr>
          <w:rFonts w:hint="eastAsia"/>
        </w:rPr>
        <w:t>。这些污染物</w:t>
      </w:r>
      <w:r w:rsidRPr="00087EA9">
        <w:t>对其他人造成的损伤却并没有反映到企业成本和电力价格中</w:t>
      </w:r>
      <w:r w:rsidRPr="00087EA9">
        <w:rPr>
          <w:rFonts w:hint="eastAsia"/>
        </w:rPr>
        <w:t>，</w:t>
      </w:r>
      <w:r w:rsidRPr="00087EA9">
        <w:t>从而导致</w:t>
      </w:r>
      <w:r w:rsidR="00CA35EA">
        <w:rPr>
          <w:rFonts w:hint="eastAsia"/>
        </w:rPr>
        <w:t>煤炭</w:t>
      </w:r>
      <w:r w:rsidR="00382311">
        <w:t>的</w:t>
      </w:r>
      <w:r w:rsidRPr="00087EA9">
        <w:t>过度消费。</w:t>
      </w:r>
      <w:r w:rsidR="009A63FD" w:rsidRPr="00087EA9">
        <w:rPr>
          <w:rFonts w:hint="eastAsia"/>
        </w:rPr>
        <w:t>虽然中国于</w:t>
      </w:r>
      <w:r w:rsidR="009A63FD" w:rsidRPr="00087EA9">
        <w:rPr>
          <w:rFonts w:hint="eastAsia"/>
        </w:rPr>
        <w:t>1984</w:t>
      </w:r>
      <w:r w:rsidR="009A63FD" w:rsidRPr="00087EA9">
        <w:rPr>
          <w:rFonts w:hint="eastAsia"/>
        </w:rPr>
        <w:t>年开征</w:t>
      </w:r>
      <w:r w:rsidR="009A63FD" w:rsidRPr="00087EA9">
        <w:t>资源税</w:t>
      </w:r>
      <w:r w:rsidR="009A63FD" w:rsidRPr="00087EA9">
        <w:rPr>
          <w:rFonts w:hint="eastAsia"/>
        </w:rPr>
        <w:t>（包括</w:t>
      </w:r>
      <w:r w:rsidR="009A63FD" w:rsidRPr="00087EA9">
        <w:t>煤炭、天然气、石油等）</w:t>
      </w:r>
      <w:r w:rsidR="009A63FD" w:rsidRPr="00087EA9">
        <w:rPr>
          <w:rFonts w:hint="eastAsia"/>
        </w:rPr>
        <w:t>，</w:t>
      </w:r>
      <w:r w:rsidR="009A63FD" w:rsidRPr="00087EA9">
        <w:t>但现行的税收体制并不能准确的反映</w:t>
      </w:r>
      <w:r w:rsidR="009A63FD" w:rsidRPr="00087EA9">
        <w:rPr>
          <w:rFonts w:hint="eastAsia"/>
        </w:rPr>
        <w:t>出</w:t>
      </w:r>
      <w:r w:rsidR="009A63FD" w:rsidRPr="00087EA9">
        <w:t>燃烧煤炭</w:t>
      </w:r>
      <w:r w:rsidR="009A63FD" w:rsidRPr="00087EA9">
        <w:rPr>
          <w:rFonts w:hint="eastAsia"/>
        </w:rPr>
        <w:t>所带来</w:t>
      </w:r>
      <w:r w:rsidR="009A63FD" w:rsidRPr="00087EA9">
        <w:t>的环境外部性。</w:t>
      </w:r>
      <w:r w:rsidR="00681D71" w:rsidRPr="00087EA9">
        <w:rPr>
          <w:rFonts w:hint="eastAsia"/>
        </w:rPr>
        <w:t>《煤炭</w:t>
      </w:r>
      <w:r w:rsidR="00681D71" w:rsidRPr="00087EA9">
        <w:t>的真实成本</w:t>
      </w:r>
      <w:r w:rsidR="00681D71" w:rsidRPr="00087EA9">
        <w:rPr>
          <w:rFonts w:hint="eastAsia"/>
        </w:rPr>
        <w:t>》的</w:t>
      </w:r>
      <w:r w:rsidR="00681D71" w:rsidRPr="00087EA9">
        <w:t>估算显示，</w:t>
      </w:r>
      <w:r w:rsidR="00681D71" w:rsidRPr="00087EA9">
        <w:rPr>
          <w:rFonts w:hint="eastAsia"/>
        </w:rPr>
        <w:t>2005</w:t>
      </w:r>
      <w:r w:rsidR="00681D71" w:rsidRPr="00087EA9">
        <w:rPr>
          <w:rFonts w:hint="eastAsia"/>
        </w:rPr>
        <w:t>年中国</w:t>
      </w:r>
      <w:r w:rsidR="00681D71" w:rsidRPr="00087EA9">
        <w:t>煤炭的环境外部成本为</w:t>
      </w:r>
      <w:r w:rsidR="00681D71" w:rsidRPr="00087EA9">
        <w:rPr>
          <w:rFonts w:hint="eastAsia"/>
        </w:rPr>
        <w:t>161.17</w:t>
      </w:r>
      <w:r w:rsidR="00681D71" w:rsidRPr="00087EA9">
        <w:rPr>
          <w:rFonts w:hint="eastAsia"/>
        </w:rPr>
        <w:t>元每吨</w:t>
      </w:r>
      <w:r w:rsidR="00681D71" w:rsidRPr="00087EA9">
        <w:t>，而</w:t>
      </w:r>
      <w:r w:rsidR="00681D71" w:rsidRPr="00087EA9">
        <w:rPr>
          <w:rFonts w:hint="eastAsia"/>
        </w:rPr>
        <w:t>煤炭</w:t>
      </w:r>
      <w:r w:rsidR="00681D71" w:rsidRPr="00087EA9">
        <w:t>资源税最高</w:t>
      </w:r>
      <w:r w:rsidR="00681D71" w:rsidRPr="00087EA9">
        <w:rPr>
          <w:rFonts w:hint="eastAsia"/>
        </w:rPr>
        <w:t>不及</w:t>
      </w:r>
      <w:r w:rsidR="00567D7E">
        <w:rPr>
          <w:rFonts w:hint="eastAsia"/>
        </w:rPr>
        <w:t>10</w:t>
      </w:r>
      <w:r w:rsidR="00681D71" w:rsidRPr="00087EA9">
        <w:rPr>
          <w:rFonts w:hint="eastAsia"/>
        </w:rPr>
        <w:t>0</w:t>
      </w:r>
      <w:r w:rsidR="00681D71" w:rsidRPr="00087EA9">
        <w:rPr>
          <w:rFonts w:hint="eastAsia"/>
        </w:rPr>
        <w:t>元每吨</w:t>
      </w:r>
      <w:r w:rsidR="00567D7E">
        <w:rPr>
          <w:rStyle w:val="FootnoteReference"/>
          <w:rFonts w:ascii="仿宋" w:hAnsi="仿宋"/>
          <w:szCs w:val="32"/>
        </w:rPr>
        <w:footnoteReference w:id="3"/>
      </w:r>
      <w:r w:rsidR="00681D71" w:rsidRPr="00087EA9">
        <w:t>。</w:t>
      </w:r>
      <w:r w:rsidR="008729EC" w:rsidRPr="00087EA9">
        <w:rPr>
          <w:rFonts w:hint="eastAsia"/>
        </w:rPr>
        <w:t>通过整合</w:t>
      </w:r>
      <w:r w:rsidR="00681D71" w:rsidRPr="00087EA9">
        <w:rPr>
          <w:rFonts w:hint="eastAsia"/>
        </w:rPr>
        <w:t>外部性</w:t>
      </w:r>
      <w:r w:rsidR="008729EC" w:rsidRPr="00087EA9">
        <w:t>至绿色银行的投资决策中，</w:t>
      </w:r>
      <w:r w:rsidR="00FF0521" w:rsidRPr="00087EA9">
        <w:rPr>
          <w:rFonts w:hint="eastAsia"/>
        </w:rPr>
        <w:t>使</w:t>
      </w:r>
      <w:r w:rsidR="008729EC" w:rsidRPr="00087EA9">
        <w:rPr>
          <w:rFonts w:hint="eastAsia"/>
        </w:rPr>
        <w:t>外部性</w:t>
      </w:r>
      <w:r w:rsidR="008729EC" w:rsidRPr="00087EA9">
        <w:t>内部化，</w:t>
      </w:r>
      <w:r w:rsidR="008729EC" w:rsidRPr="00087EA9">
        <w:rPr>
          <w:rFonts w:hint="eastAsia"/>
        </w:rPr>
        <w:t>将</w:t>
      </w:r>
      <w:r w:rsidR="008729EC" w:rsidRPr="00087EA9">
        <w:t>促进投资向节能减排和新能源领域倾斜</w:t>
      </w:r>
      <w:r w:rsidR="008729EC" w:rsidRPr="00087EA9">
        <w:rPr>
          <w:rFonts w:hint="eastAsia"/>
        </w:rPr>
        <w:t>，</w:t>
      </w:r>
      <w:r w:rsidR="008729EC" w:rsidRPr="00087EA9">
        <w:t>并</w:t>
      </w:r>
      <w:r w:rsidR="00681D71" w:rsidRPr="00087EA9">
        <w:t>减少污染物和温室气体排放。</w:t>
      </w:r>
    </w:p>
    <w:p w:rsidR="00A16A5E" w:rsidRPr="00087EA9" w:rsidRDefault="00A16A5E" w:rsidP="005E19DD">
      <w:pPr>
        <w:pStyle w:val="Heading3"/>
      </w:pPr>
      <w:r w:rsidRPr="00087EA9">
        <w:rPr>
          <w:rFonts w:hint="eastAsia"/>
        </w:rPr>
        <w:t>2</w:t>
      </w:r>
      <w:r w:rsidRPr="00087EA9">
        <w:rPr>
          <w:rFonts w:hint="eastAsia"/>
        </w:rPr>
        <w:t>、</w:t>
      </w:r>
      <w:r w:rsidRPr="00087EA9">
        <w:t>信息</w:t>
      </w:r>
      <w:r w:rsidRPr="00087EA9">
        <w:rPr>
          <w:rFonts w:hint="eastAsia"/>
        </w:rPr>
        <w:t>不对称</w:t>
      </w:r>
    </w:p>
    <w:p w:rsidR="00382311" w:rsidRDefault="008729EC" w:rsidP="002A10AD">
      <w:r w:rsidRPr="00087EA9">
        <w:rPr>
          <w:rFonts w:hint="eastAsia"/>
        </w:rPr>
        <w:t>信息不对称</w:t>
      </w:r>
      <w:r w:rsidRPr="00087EA9">
        <w:t>是指在交易中的各个主体拥有</w:t>
      </w:r>
      <w:r w:rsidRPr="00087EA9">
        <w:rPr>
          <w:rFonts w:hint="eastAsia"/>
        </w:rPr>
        <w:t>的</w:t>
      </w:r>
      <w:r w:rsidRPr="00087EA9">
        <w:t>信息不同，而</w:t>
      </w:r>
      <w:r w:rsidRPr="00087EA9">
        <w:rPr>
          <w:rFonts w:hint="eastAsia"/>
        </w:rPr>
        <w:t>使得</w:t>
      </w:r>
      <w:r w:rsidRPr="00087EA9">
        <w:t>双方处于不平等的地位。</w:t>
      </w:r>
      <w:r w:rsidRPr="00087EA9">
        <w:rPr>
          <w:rFonts w:hint="eastAsia"/>
        </w:rPr>
        <w:t>在</w:t>
      </w:r>
      <w:r w:rsidRPr="00087EA9">
        <w:t>绿色投资领域，由于信息不对称或信息不完全</w:t>
      </w:r>
      <w:r w:rsidRPr="00087EA9">
        <w:rPr>
          <w:rFonts w:hint="eastAsia"/>
        </w:rPr>
        <w:t>所造成</w:t>
      </w:r>
      <w:r w:rsidR="00FF0521" w:rsidRPr="00087EA9">
        <w:t>风险厌恶，</w:t>
      </w:r>
      <w:r w:rsidR="00CA35EA">
        <w:rPr>
          <w:rFonts w:hint="eastAsia"/>
        </w:rPr>
        <w:t>使得</w:t>
      </w:r>
      <w:r w:rsidR="00FF0521" w:rsidRPr="00087EA9">
        <w:rPr>
          <w:rFonts w:hint="eastAsia"/>
        </w:rPr>
        <w:t>金融</w:t>
      </w:r>
      <w:r w:rsidR="00FF0521" w:rsidRPr="00087EA9">
        <w:t>机构</w:t>
      </w:r>
      <w:r w:rsidR="00FF0521" w:rsidRPr="00087EA9">
        <w:rPr>
          <w:rFonts w:hint="eastAsia"/>
        </w:rPr>
        <w:t>和</w:t>
      </w:r>
      <w:r w:rsidR="00FF0521" w:rsidRPr="00087EA9">
        <w:t>投资者</w:t>
      </w:r>
      <w:r w:rsidR="00FF0521" w:rsidRPr="00087EA9">
        <w:rPr>
          <w:rFonts w:hint="eastAsia"/>
        </w:rPr>
        <w:t>不愿意投资于</w:t>
      </w:r>
      <w:r w:rsidR="00FF0521" w:rsidRPr="00087EA9">
        <w:t>绿色项目。</w:t>
      </w:r>
      <w:r w:rsidR="00CA35EA">
        <w:rPr>
          <w:rFonts w:hint="eastAsia"/>
        </w:rPr>
        <w:t>这是因为</w:t>
      </w:r>
      <w:r w:rsidR="00FF0521" w:rsidRPr="00087EA9">
        <w:rPr>
          <w:rFonts w:hint="eastAsia"/>
        </w:rPr>
        <w:t>在</w:t>
      </w:r>
      <w:r w:rsidR="00FF0521" w:rsidRPr="00087EA9">
        <w:t>绿色经济中</w:t>
      </w:r>
      <w:r w:rsidR="00FF0521" w:rsidRPr="00087EA9">
        <w:rPr>
          <w:rFonts w:hint="eastAsia"/>
        </w:rPr>
        <w:t>关键</w:t>
      </w:r>
      <w:r w:rsidR="00FF0521" w:rsidRPr="00087EA9">
        <w:t>领域的项目</w:t>
      </w:r>
      <w:r w:rsidR="00FF0521" w:rsidRPr="00087EA9">
        <w:rPr>
          <w:rFonts w:hint="eastAsia"/>
        </w:rPr>
        <w:t>通常</w:t>
      </w:r>
      <w:r w:rsidR="00FF0521" w:rsidRPr="00087EA9">
        <w:t>缺乏</w:t>
      </w:r>
      <w:r w:rsidR="00FF0521" w:rsidRPr="00087EA9">
        <w:rPr>
          <w:rFonts w:hint="eastAsia"/>
        </w:rPr>
        <w:t>投资</w:t>
      </w:r>
      <w:r w:rsidR="00FF0521" w:rsidRPr="00087EA9">
        <w:t>先例和</w:t>
      </w:r>
      <w:r w:rsidR="0079285A" w:rsidRPr="00087EA9">
        <w:rPr>
          <w:rFonts w:hint="eastAsia"/>
        </w:rPr>
        <w:t>一定</w:t>
      </w:r>
      <w:r w:rsidR="0079285A" w:rsidRPr="00087EA9">
        <w:t>时间</w:t>
      </w:r>
      <w:r w:rsidR="007C56E5">
        <w:rPr>
          <w:rFonts w:hint="eastAsia"/>
        </w:rPr>
        <w:t>长度</w:t>
      </w:r>
      <w:r w:rsidR="0079285A" w:rsidRPr="00087EA9">
        <w:t>的绩效记录，</w:t>
      </w:r>
      <w:r w:rsidR="002E1878" w:rsidRPr="00087EA9">
        <w:rPr>
          <w:rFonts w:hint="eastAsia"/>
        </w:rPr>
        <w:t>由此</w:t>
      </w:r>
      <w:r w:rsidR="002E1878" w:rsidRPr="00087EA9">
        <w:t>产生了</w:t>
      </w:r>
      <w:r w:rsidR="002D1B1C">
        <w:rPr>
          <w:rFonts w:hint="eastAsia"/>
        </w:rPr>
        <w:t>多种</w:t>
      </w:r>
      <w:r w:rsidR="002E1878" w:rsidRPr="00087EA9">
        <w:rPr>
          <w:rFonts w:hint="eastAsia"/>
        </w:rPr>
        <w:t>不确定性</w:t>
      </w:r>
      <w:r w:rsidR="002E1878" w:rsidRPr="00087EA9">
        <w:t>，包括项目建设成本、技术可靠性</w:t>
      </w:r>
      <w:r w:rsidR="002E1878" w:rsidRPr="00087EA9">
        <w:rPr>
          <w:rFonts w:hint="eastAsia"/>
        </w:rPr>
        <w:t>和</w:t>
      </w:r>
      <w:r w:rsidR="002E1878" w:rsidRPr="00087EA9">
        <w:t>政策不确定性等</w:t>
      </w:r>
      <w:r w:rsidR="002E1878" w:rsidRPr="00087EA9">
        <w:rPr>
          <w:rFonts w:hint="eastAsia"/>
        </w:rPr>
        <w:t>。</w:t>
      </w:r>
    </w:p>
    <w:p w:rsidR="008729EC" w:rsidRPr="00087EA9" w:rsidRDefault="002E1878" w:rsidP="002A10AD">
      <w:r w:rsidRPr="00087EA9">
        <w:lastRenderedPageBreak/>
        <w:t>尽管</w:t>
      </w:r>
      <w:r w:rsidRPr="00087EA9">
        <w:rPr>
          <w:rFonts w:hint="eastAsia"/>
        </w:rPr>
        <w:t>不同</w:t>
      </w:r>
      <w:r w:rsidRPr="00087EA9">
        <w:t>的投资者对风险有不同的偏好，但</w:t>
      </w:r>
      <w:r w:rsidRPr="00087EA9">
        <w:rPr>
          <w:rFonts w:hint="eastAsia"/>
        </w:rPr>
        <w:t>整体而言</w:t>
      </w:r>
      <w:r w:rsidRPr="00087EA9">
        <w:t>，投资者缺乏</w:t>
      </w:r>
      <w:r w:rsidR="00CA35EA">
        <w:rPr>
          <w:rFonts w:hint="eastAsia"/>
        </w:rPr>
        <w:t>绿色</w:t>
      </w:r>
      <w:r w:rsidR="00CA35EA">
        <w:t>项目的</w:t>
      </w:r>
      <w:r w:rsidRPr="00087EA9">
        <w:rPr>
          <w:rFonts w:hint="eastAsia"/>
        </w:rPr>
        <w:t>信息</w:t>
      </w:r>
      <w:r w:rsidR="00CA35EA">
        <w:t>和经验</w:t>
      </w:r>
      <w:r w:rsidR="00CA35EA">
        <w:rPr>
          <w:rFonts w:hint="eastAsia"/>
        </w:rPr>
        <w:t>。此外</w:t>
      </w:r>
      <w:r w:rsidR="00CA35EA">
        <w:t>，投资者一般是风险厌恶型，他们</w:t>
      </w:r>
      <w:r w:rsidRPr="00087EA9">
        <w:t>不愿意承担过多的风险</w:t>
      </w:r>
      <w:r w:rsidR="00CA35EA">
        <w:rPr>
          <w:rFonts w:hint="eastAsia"/>
        </w:rPr>
        <w:t>，</w:t>
      </w:r>
      <w:r w:rsidR="00CA35EA">
        <w:t>也就不愿意投资于</w:t>
      </w:r>
      <w:r w:rsidR="00CA35EA">
        <w:rPr>
          <w:rFonts w:hint="eastAsia"/>
        </w:rPr>
        <w:t>绿色</w:t>
      </w:r>
      <w:r w:rsidR="00CA35EA">
        <w:t>产业</w:t>
      </w:r>
      <w:r w:rsidRPr="00087EA9">
        <w:t>。因此</w:t>
      </w:r>
      <w:r w:rsidRPr="00087EA9">
        <w:rPr>
          <w:rFonts w:hint="eastAsia"/>
        </w:rPr>
        <w:t>，</w:t>
      </w:r>
      <w:r w:rsidRPr="00087EA9">
        <w:t>政府成立绿色银行，</w:t>
      </w:r>
      <w:r w:rsidRPr="00087EA9">
        <w:rPr>
          <w:rFonts w:hint="eastAsia"/>
        </w:rPr>
        <w:t>不仅</w:t>
      </w:r>
      <w:r w:rsidRPr="00087EA9">
        <w:t>将</w:t>
      </w:r>
      <w:r w:rsidRPr="00087EA9">
        <w:rPr>
          <w:rFonts w:hint="eastAsia"/>
        </w:rPr>
        <w:t>分担</w:t>
      </w:r>
      <w:r w:rsidRPr="00087EA9">
        <w:t>一部分投资风险</w:t>
      </w:r>
      <w:r w:rsidRPr="00087EA9">
        <w:rPr>
          <w:rFonts w:hint="eastAsia"/>
        </w:rPr>
        <w:t>、</w:t>
      </w:r>
      <w:r w:rsidRPr="00087EA9">
        <w:t>吸引投资者</w:t>
      </w:r>
      <w:r w:rsidRPr="00087EA9">
        <w:rPr>
          <w:rFonts w:hint="eastAsia"/>
        </w:rPr>
        <w:t>，</w:t>
      </w:r>
      <w:r w:rsidR="00D57467">
        <w:rPr>
          <w:rFonts w:hint="eastAsia"/>
        </w:rPr>
        <w:t>更重要</w:t>
      </w:r>
      <w:r w:rsidR="00D57467">
        <w:t>的是</w:t>
      </w:r>
      <w:r w:rsidRPr="00087EA9">
        <w:t>能提供项目运行的</w:t>
      </w:r>
      <w:r w:rsidRPr="00087EA9">
        <w:rPr>
          <w:rFonts w:hint="eastAsia"/>
        </w:rPr>
        <w:t>数据</w:t>
      </w:r>
      <w:r w:rsidRPr="00087EA9">
        <w:t>和投资回报等数据</w:t>
      </w:r>
      <w:r w:rsidRPr="00087EA9">
        <w:rPr>
          <w:rFonts w:hint="eastAsia"/>
        </w:rPr>
        <w:t>，促进</w:t>
      </w:r>
      <w:r w:rsidRPr="00087EA9">
        <w:t>投资者对行业的理解，</w:t>
      </w:r>
      <w:r w:rsidRPr="00087EA9">
        <w:rPr>
          <w:rFonts w:hint="eastAsia"/>
        </w:rPr>
        <w:t>从而</w:t>
      </w:r>
      <w:r w:rsidRPr="00087EA9">
        <w:t>降低</w:t>
      </w:r>
      <w:r w:rsidR="00D57467">
        <w:t>绿色行业的</w:t>
      </w:r>
      <w:r w:rsidR="00D57467">
        <w:rPr>
          <w:rFonts w:hint="eastAsia"/>
        </w:rPr>
        <w:t>投资</w:t>
      </w:r>
      <w:r w:rsidRPr="00087EA9">
        <w:t>风险</w:t>
      </w:r>
      <w:r w:rsidRPr="00087EA9">
        <w:rPr>
          <w:rFonts w:hint="eastAsia"/>
        </w:rPr>
        <w:t>。</w:t>
      </w:r>
    </w:p>
    <w:p w:rsidR="00A16A5E" w:rsidRPr="00087EA9" w:rsidRDefault="00A16A5E" w:rsidP="005E19DD">
      <w:pPr>
        <w:pStyle w:val="Heading3"/>
      </w:pPr>
      <w:r w:rsidRPr="00087EA9">
        <w:rPr>
          <w:rFonts w:hint="eastAsia"/>
        </w:rPr>
        <w:t>3</w:t>
      </w:r>
      <w:r w:rsidRPr="00087EA9">
        <w:rPr>
          <w:rFonts w:hint="eastAsia"/>
        </w:rPr>
        <w:t>、</w:t>
      </w:r>
      <w:r w:rsidRPr="00087EA9">
        <w:t>交易成本</w:t>
      </w:r>
    </w:p>
    <w:p w:rsidR="008341C4" w:rsidRDefault="006B1E15" w:rsidP="002A10AD">
      <w:r w:rsidRPr="00087EA9">
        <w:rPr>
          <w:rFonts w:hint="eastAsia"/>
        </w:rPr>
        <w:t>交易成本</w:t>
      </w:r>
      <w:r w:rsidRPr="00087EA9">
        <w:t>指为促进交易</w:t>
      </w:r>
      <w:r w:rsidRPr="00087EA9">
        <w:rPr>
          <w:rFonts w:hint="eastAsia"/>
        </w:rPr>
        <w:t>发生</w:t>
      </w:r>
      <w:r w:rsidRPr="00087EA9">
        <w:t>而形成的成本。</w:t>
      </w:r>
      <w:r w:rsidRPr="00087EA9">
        <w:rPr>
          <w:rFonts w:hint="eastAsia"/>
        </w:rPr>
        <w:t>许多</w:t>
      </w:r>
      <w:r w:rsidR="00382311">
        <w:t>绿色项目</w:t>
      </w:r>
      <w:r w:rsidR="00382311">
        <w:rPr>
          <w:rFonts w:hint="eastAsia"/>
        </w:rPr>
        <w:t>涉及</w:t>
      </w:r>
      <w:r w:rsidRPr="00087EA9">
        <w:t>新技术和新的商业模式，也就增加了</w:t>
      </w:r>
      <w:r w:rsidR="008341C4">
        <w:rPr>
          <w:rFonts w:hint="eastAsia"/>
        </w:rPr>
        <w:t>贷款</w:t>
      </w:r>
      <w:r w:rsidRPr="00087EA9">
        <w:rPr>
          <w:rFonts w:hint="eastAsia"/>
        </w:rPr>
        <w:t>审查</w:t>
      </w:r>
      <w:r w:rsidRPr="00087EA9">
        <w:t>成本。</w:t>
      </w:r>
      <w:r w:rsidRPr="00087EA9">
        <w:rPr>
          <w:rFonts w:hint="eastAsia"/>
        </w:rPr>
        <w:t>其次</w:t>
      </w:r>
      <w:r w:rsidRPr="00087EA9">
        <w:t>，绿色项目</w:t>
      </w:r>
      <w:r w:rsidRPr="00087EA9">
        <w:rPr>
          <w:rFonts w:hint="eastAsia"/>
        </w:rPr>
        <w:t>有时</w:t>
      </w:r>
      <w:r w:rsidRPr="00087EA9">
        <w:t>数量众多，但每个子项目所涉及的融资金额却较小，如分布式太阳能和建筑节能</w:t>
      </w:r>
      <w:r w:rsidRPr="00087EA9">
        <w:rPr>
          <w:rFonts w:hint="eastAsia"/>
        </w:rPr>
        <w:t>等</w:t>
      </w:r>
      <w:r w:rsidRPr="00087EA9">
        <w:t>。这些</w:t>
      </w:r>
      <w:r w:rsidRPr="00087EA9">
        <w:rPr>
          <w:rFonts w:hint="eastAsia"/>
        </w:rPr>
        <w:t>因素</w:t>
      </w:r>
      <w:r w:rsidRPr="00087EA9">
        <w:t>都将导致评估和监控的成本上升，</w:t>
      </w:r>
      <w:r w:rsidRPr="00087EA9">
        <w:rPr>
          <w:rFonts w:hint="eastAsia"/>
        </w:rPr>
        <w:t>并</w:t>
      </w:r>
      <w:r w:rsidRPr="00087EA9">
        <w:t>增加获取外部融资的难度。</w:t>
      </w:r>
    </w:p>
    <w:p w:rsidR="008729EC" w:rsidRPr="00087EA9" w:rsidRDefault="00D77AC4">
      <w:pPr>
        <w:rPr>
          <w:rFonts w:ascii="仿宋" w:hAnsi="仿宋"/>
          <w:szCs w:val="32"/>
        </w:rPr>
      </w:pPr>
      <w:r w:rsidRPr="00087EA9">
        <w:rPr>
          <w:rFonts w:ascii="仿宋" w:hAnsi="仿宋" w:hint="eastAsia"/>
          <w:szCs w:val="32"/>
        </w:rPr>
        <w:t>成立</w:t>
      </w:r>
      <w:r w:rsidRPr="00087EA9">
        <w:rPr>
          <w:rFonts w:ascii="仿宋" w:hAnsi="仿宋"/>
          <w:szCs w:val="32"/>
        </w:rPr>
        <w:t>绿色银行，并雇佣在相关领域有专长</w:t>
      </w:r>
      <w:r w:rsidRPr="00087EA9">
        <w:rPr>
          <w:rFonts w:ascii="仿宋" w:hAnsi="仿宋" w:hint="eastAsia"/>
          <w:szCs w:val="32"/>
        </w:rPr>
        <w:t>的</w:t>
      </w:r>
      <w:r w:rsidRPr="00087EA9">
        <w:rPr>
          <w:rFonts w:ascii="仿宋" w:hAnsi="仿宋"/>
          <w:szCs w:val="32"/>
        </w:rPr>
        <w:t>人才</w:t>
      </w:r>
      <w:r w:rsidRPr="00087EA9">
        <w:rPr>
          <w:rFonts w:ascii="仿宋" w:hAnsi="仿宋" w:hint="eastAsia"/>
          <w:szCs w:val="32"/>
        </w:rPr>
        <w:t>，</w:t>
      </w:r>
      <w:r w:rsidRPr="00087EA9">
        <w:rPr>
          <w:rFonts w:ascii="仿宋" w:hAnsi="仿宋"/>
          <w:szCs w:val="32"/>
        </w:rPr>
        <w:t>为项目量身定制融资方案，将有效降低交易成本</w:t>
      </w:r>
      <w:r w:rsidRPr="00087EA9">
        <w:rPr>
          <w:rFonts w:ascii="仿宋" w:hAnsi="仿宋" w:hint="eastAsia"/>
          <w:szCs w:val="32"/>
        </w:rPr>
        <w:t>。其他</w:t>
      </w:r>
      <w:r w:rsidRPr="00087EA9">
        <w:rPr>
          <w:rFonts w:ascii="仿宋" w:hAnsi="仿宋"/>
          <w:szCs w:val="32"/>
        </w:rPr>
        <w:t>金融机构也能通过绿色银行的实践，</w:t>
      </w:r>
      <w:r w:rsidRPr="00087EA9">
        <w:rPr>
          <w:rFonts w:ascii="仿宋" w:hAnsi="仿宋" w:hint="eastAsia"/>
          <w:szCs w:val="32"/>
        </w:rPr>
        <w:t>快速</w:t>
      </w:r>
      <w:r w:rsidRPr="00087EA9">
        <w:rPr>
          <w:rFonts w:ascii="仿宋" w:hAnsi="仿宋"/>
          <w:szCs w:val="32"/>
        </w:rPr>
        <w:t>掌握</w:t>
      </w:r>
      <w:r w:rsidRPr="00087EA9">
        <w:rPr>
          <w:rFonts w:ascii="仿宋" w:hAnsi="仿宋" w:hint="eastAsia"/>
          <w:szCs w:val="32"/>
        </w:rPr>
        <w:t>相关</w:t>
      </w:r>
      <w:r w:rsidRPr="00087EA9">
        <w:rPr>
          <w:rFonts w:ascii="仿宋" w:hAnsi="仿宋"/>
          <w:szCs w:val="32"/>
        </w:rPr>
        <w:t>领域的贷款审查要求</w:t>
      </w:r>
      <w:r w:rsidR="00382311">
        <w:rPr>
          <w:rFonts w:ascii="仿宋" w:hAnsi="仿宋" w:hint="eastAsia"/>
          <w:szCs w:val="32"/>
        </w:rPr>
        <w:t>，</w:t>
      </w:r>
      <w:r w:rsidR="00382311">
        <w:rPr>
          <w:rFonts w:ascii="仿宋" w:hAnsi="仿宋"/>
          <w:szCs w:val="32"/>
        </w:rPr>
        <w:t>从而促进</w:t>
      </w:r>
      <w:r w:rsidR="00382311">
        <w:rPr>
          <w:rFonts w:ascii="仿宋" w:hAnsi="仿宋" w:hint="eastAsia"/>
          <w:szCs w:val="32"/>
        </w:rPr>
        <w:t>整体</w:t>
      </w:r>
      <w:r w:rsidR="00382311">
        <w:rPr>
          <w:rFonts w:ascii="仿宋" w:hAnsi="仿宋"/>
          <w:szCs w:val="32"/>
        </w:rPr>
        <w:t>行业的投资</w:t>
      </w:r>
      <w:r w:rsidRPr="00087EA9">
        <w:rPr>
          <w:rFonts w:ascii="仿宋" w:hAnsi="仿宋"/>
          <w:szCs w:val="32"/>
        </w:rPr>
        <w:t>。</w:t>
      </w:r>
    </w:p>
    <w:p w:rsidR="003B166A" w:rsidRPr="00087EA9" w:rsidRDefault="00C935A8" w:rsidP="005E19DD">
      <w:pPr>
        <w:pStyle w:val="Heading1"/>
      </w:pPr>
      <w:r w:rsidRPr="00087EA9">
        <w:rPr>
          <w:rFonts w:hint="eastAsia"/>
        </w:rPr>
        <w:t>二</w:t>
      </w:r>
      <w:r w:rsidRPr="00087EA9">
        <w:t>、</w:t>
      </w:r>
      <w:r w:rsidR="00CD730B" w:rsidRPr="00087EA9">
        <w:rPr>
          <w:rFonts w:hint="eastAsia"/>
        </w:rPr>
        <w:t>绿色银行的类别</w:t>
      </w:r>
      <w:r w:rsidR="00D77AC4" w:rsidRPr="00087EA9">
        <w:rPr>
          <w:rFonts w:hint="eastAsia"/>
        </w:rPr>
        <w:t>和</w:t>
      </w:r>
      <w:r w:rsidR="00D77AC4" w:rsidRPr="00087EA9">
        <w:t>资金来源</w:t>
      </w:r>
    </w:p>
    <w:p w:rsidR="00D77AC4" w:rsidRPr="00087EA9" w:rsidRDefault="00DF163C" w:rsidP="002A10AD">
      <w:r w:rsidRPr="00087EA9">
        <w:rPr>
          <w:rFonts w:hint="eastAsia"/>
        </w:rPr>
        <w:t>从</w:t>
      </w:r>
      <w:r w:rsidRPr="00087EA9">
        <w:t>全球范围来看，</w:t>
      </w:r>
      <w:r w:rsidRPr="00087EA9">
        <w:rPr>
          <w:rFonts w:hint="eastAsia"/>
        </w:rPr>
        <w:t>绿色</w:t>
      </w:r>
      <w:r w:rsidRPr="00087EA9">
        <w:t>银行已得到</w:t>
      </w:r>
      <w:r w:rsidRPr="00087EA9">
        <w:rPr>
          <w:rFonts w:hint="eastAsia"/>
        </w:rPr>
        <w:t>发达</w:t>
      </w:r>
      <w:r w:rsidRPr="00087EA9">
        <w:t>国家</w:t>
      </w:r>
      <w:r w:rsidRPr="00087EA9">
        <w:rPr>
          <w:rFonts w:hint="eastAsia"/>
        </w:rPr>
        <w:t>的</w:t>
      </w:r>
      <w:r w:rsidRPr="00087EA9">
        <w:t>重视，并得到一定程度的发展。许多</w:t>
      </w:r>
      <w:r w:rsidRPr="00087EA9">
        <w:rPr>
          <w:rFonts w:hint="eastAsia"/>
        </w:rPr>
        <w:t>发达</w:t>
      </w:r>
      <w:r w:rsidRPr="00087EA9">
        <w:t>国家在绿色</w:t>
      </w:r>
      <w:r w:rsidRPr="00087EA9">
        <w:rPr>
          <w:rFonts w:hint="eastAsia"/>
        </w:rPr>
        <w:t>银行</w:t>
      </w:r>
      <w:r w:rsidRPr="00087EA9">
        <w:t>的设立</w:t>
      </w:r>
      <w:r w:rsidRPr="00087EA9">
        <w:rPr>
          <w:rFonts w:hint="eastAsia"/>
        </w:rPr>
        <w:t>和</w:t>
      </w:r>
      <w:r w:rsidRPr="00087EA9">
        <w:t>发展上积累了大量的经验。</w:t>
      </w:r>
      <w:r w:rsidR="005D119D" w:rsidRPr="00087EA9">
        <w:rPr>
          <w:rFonts w:hint="eastAsia"/>
        </w:rPr>
        <w:t>从</w:t>
      </w:r>
      <w:r w:rsidR="005D119D" w:rsidRPr="00087EA9">
        <w:t>涵盖范围上，可以将绿色银行分为两类：国家级绿色银行和省级</w:t>
      </w:r>
      <w:r w:rsidR="005D119D" w:rsidRPr="00087EA9">
        <w:rPr>
          <w:rFonts w:hint="eastAsia"/>
        </w:rPr>
        <w:t>绿色</w:t>
      </w:r>
      <w:r w:rsidR="005D119D" w:rsidRPr="00087EA9">
        <w:t>银行。</w:t>
      </w:r>
      <w:r w:rsidR="00382311">
        <w:rPr>
          <w:rFonts w:hint="eastAsia"/>
        </w:rPr>
        <w:t>下</w:t>
      </w:r>
      <w:r w:rsidR="005D119D" w:rsidRPr="00087EA9">
        <w:rPr>
          <w:rFonts w:hint="eastAsia"/>
        </w:rPr>
        <w:t>文将</w:t>
      </w:r>
      <w:r w:rsidR="005D119D" w:rsidRPr="00087EA9">
        <w:t>主要</w:t>
      </w:r>
      <w:r w:rsidR="00382311">
        <w:rPr>
          <w:rFonts w:hint="eastAsia"/>
        </w:rPr>
        <w:t>介绍</w:t>
      </w:r>
      <w:r w:rsidR="005D119D" w:rsidRPr="00087EA9">
        <w:rPr>
          <w:rFonts w:hint="eastAsia"/>
        </w:rPr>
        <w:t>两家</w:t>
      </w:r>
      <w:r w:rsidR="005D119D" w:rsidRPr="00087EA9">
        <w:t>国家级绿色银</w:t>
      </w:r>
      <w:r w:rsidR="005D119D" w:rsidRPr="00087EA9">
        <w:lastRenderedPageBreak/>
        <w:t>行和三家省级绿色银行</w:t>
      </w:r>
      <w:r w:rsidR="00382311">
        <w:rPr>
          <w:rFonts w:hint="eastAsia"/>
        </w:rPr>
        <w:t>，</w:t>
      </w:r>
      <w:r w:rsidR="00382311">
        <w:t>以及</w:t>
      </w:r>
      <w:r w:rsidR="00382311">
        <w:rPr>
          <w:rFonts w:hint="eastAsia"/>
        </w:rPr>
        <w:t>它们</w:t>
      </w:r>
      <w:r w:rsidR="00382311">
        <w:t>的资金来源</w:t>
      </w:r>
      <w:r w:rsidR="005816ED">
        <w:rPr>
          <w:rFonts w:hint="eastAsia"/>
        </w:rPr>
        <w:t>。这五家</w:t>
      </w:r>
      <w:r w:rsidR="005816ED">
        <w:t>绿色银行</w:t>
      </w:r>
      <w:r w:rsidR="005D119D" w:rsidRPr="00087EA9">
        <w:t>分别是</w:t>
      </w:r>
      <w:r w:rsidR="005D119D" w:rsidRPr="00087EA9">
        <w:rPr>
          <w:rFonts w:hint="eastAsia"/>
        </w:rPr>
        <w:t>英国</w:t>
      </w:r>
      <w:r w:rsidR="005D119D" w:rsidRPr="00087EA9">
        <w:t>绿色投资银行、</w:t>
      </w:r>
      <w:r w:rsidR="005D119D" w:rsidRPr="00087EA9">
        <w:rPr>
          <w:rFonts w:hint="eastAsia"/>
        </w:rPr>
        <w:t>澳大利亚清洁</w:t>
      </w:r>
      <w:r w:rsidR="005D119D" w:rsidRPr="00087EA9">
        <w:t>能源金融公司、</w:t>
      </w:r>
      <w:r w:rsidR="005D119D" w:rsidRPr="00087EA9">
        <w:rPr>
          <w:rFonts w:hint="eastAsia"/>
        </w:rPr>
        <w:t>美国</w:t>
      </w:r>
      <w:r w:rsidR="005D119D" w:rsidRPr="00087EA9">
        <w:t>纽约州绿色银行、</w:t>
      </w:r>
      <w:r w:rsidR="005D119D" w:rsidRPr="00087EA9">
        <w:rPr>
          <w:rFonts w:hint="eastAsia"/>
        </w:rPr>
        <w:t>美国康涅狄格州绿色</w:t>
      </w:r>
      <w:r w:rsidR="005D119D" w:rsidRPr="00087EA9">
        <w:t>银行</w:t>
      </w:r>
      <w:r w:rsidR="005D119D" w:rsidRPr="00087EA9">
        <w:rPr>
          <w:rFonts w:hint="eastAsia"/>
        </w:rPr>
        <w:t>和</w:t>
      </w:r>
      <w:r w:rsidR="005D119D" w:rsidRPr="00087EA9">
        <w:t>美国新泽西州</w:t>
      </w:r>
      <w:r w:rsidR="004A1456" w:rsidRPr="00087EA9">
        <w:rPr>
          <w:rFonts w:hint="eastAsia"/>
        </w:rPr>
        <w:t>能源适应力</w:t>
      </w:r>
      <w:r w:rsidR="005D119D" w:rsidRPr="00087EA9">
        <w:rPr>
          <w:rFonts w:hint="eastAsia"/>
        </w:rPr>
        <w:t>银行</w:t>
      </w:r>
      <w:r w:rsidR="005D119D" w:rsidRPr="00087EA9">
        <w:t>。</w:t>
      </w:r>
    </w:p>
    <w:p w:rsidR="008E2631" w:rsidRPr="00087EA9" w:rsidRDefault="008E2631" w:rsidP="005E19DD">
      <w:pPr>
        <w:pStyle w:val="Heading2"/>
      </w:pPr>
      <w:r w:rsidRPr="00087EA9">
        <w:rPr>
          <w:rFonts w:hint="eastAsia"/>
        </w:rPr>
        <w:t>（</w:t>
      </w:r>
      <w:r w:rsidRPr="00087EA9">
        <w:t>一）英国绿色投资银行</w:t>
      </w:r>
    </w:p>
    <w:p w:rsidR="005816ED" w:rsidRDefault="004A1456" w:rsidP="002A10AD">
      <w:r w:rsidRPr="00087EA9">
        <w:rPr>
          <w:rFonts w:hint="eastAsia"/>
        </w:rPr>
        <w:t>英国</w:t>
      </w:r>
      <w:r w:rsidRPr="00087EA9">
        <w:t>绿色投资银行成立于</w:t>
      </w:r>
      <w:r w:rsidRPr="00087EA9">
        <w:rPr>
          <w:rFonts w:hint="eastAsia"/>
        </w:rPr>
        <w:t>2012</w:t>
      </w:r>
      <w:r w:rsidRPr="00087EA9">
        <w:rPr>
          <w:rFonts w:hint="eastAsia"/>
        </w:rPr>
        <w:t>年</w:t>
      </w:r>
      <w:r w:rsidRPr="00087EA9">
        <w:t>，是英国政府</w:t>
      </w:r>
      <w:r w:rsidRPr="00087EA9">
        <w:rPr>
          <w:rFonts w:hint="eastAsia"/>
        </w:rPr>
        <w:t>全资拥有</w:t>
      </w:r>
      <w:r w:rsidRPr="00087EA9">
        <w:t>的</w:t>
      </w:r>
      <w:r w:rsidRPr="00087EA9">
        <w:rPr>
          <w:rFonts w:hint="eastAsia"/>
        </w:rPr>
        <w:t>一家</w:t>
      </w:r>
      <w:r w:rsidRPr="00087EA9">
        <w:t>银行，也是世界上第一家</w:t>
      </w:r>
      <w:r w:rsidRPr="00087EA9">
        <w:rPr>
          <w:rFonts w:hint="eastAsia"/>
        </w:rPr>
        <w:t>专注于绿色</w:t>
      </w:r>
      <w:r w:rsidRPr="00087EA9">
        <w:t>领域的投资银行。</w:t>
      </w:r>
      <w:r w:rsidR="00A16700" w:rsidRPr="00087EA9">
        <w:rPr>
          <w:rFonts w:hint="eastAsia"/>
        </w:rPr>
        <w:t>英国</w:t>
      </w:r>
      <w:r w:rsidR="00A16700" w:rsidRPr="00087EA9">
        <w:t>政府承诺转型至绿色经济，</w:t>
      </w:r>
      <w:r w:rsidR="007E4D8F" w:rsidRPr="00087EA9">
        <w:rPr>
          <w:rFonts w:hint="eastAsia"/>
        </w:rPr>
        <w:t>并</w:t>
      </w:r>
      <w:r w:rsidR="007E4D8F" w:rsidRPr="00087EA9">
        <w:t>通过了</w:t>
      </w:r>
      <w:r w:rsidR="007E4D8F" w:rsidRPr="00087EA9">
        <w:rPr>
          <w:rFonts w:hint="eastAsia"/>
        </w:rPr>
        <w:t>《</w:t>
      </w:r>
      <w:r w:rsidR="00641AE3" w:rsidRPr="00087EA9">
        <w:rPr>
          <w:rFonts w:hint="eastAsia"/>
        </w:rPr>
        <w:t>2008</w:t>
      </w:r>
      <w:r w:rsidR="00641AE3" w:rsidRPr="00087EA9">
        <w:rPr>
          <w:rFonts w:hint="eastAsia"/>
        </w:rPr>
        <w:t>年</w:t>
      </w:r>
      <w:r w:rsidR="00641AE3" w:rsidRPr="00087EA9">
        <w:t>气候变化</w:t>
      </w:r>
      <w:r w:rsidR="00641AE3" w:rsidRPr="00087EA9">
        <w:rPr>
          <w:rFonts w:hint="eastAsia"/>
        </w:rPr>
        <w:t>法案</w:t>
      </w:r>
      <w:r w:rsidR="007E4D8F" w:rsidRPr="00087EA9">
        <w:rPr>
          <w:rFonts w:hint="eastAsia"/>
        </w:rPr>
        <w:t>》</w:t>
      </w:r>
      <w:r w:rsidR="0040663B">
        <w:rPr>
          <w:rFonts w:hint="eastAsia"/>
        </w:rPr>
        <w:t>。</w:t>
      </w:r>
      <w:r w:rsidR="007E4D8F" w:rsidRPr="00087EA9">
        <w:rPr>
          <w:rFonts w:hint="eastAsia"/>
        </w:rPr>
        <w:t>该</w:t>
      </w:r>
      <w:r w:rsidR="007E4D8F" w:rsidRPr="00087EA9">
        <w:t>法案规定英国</w:t>
      </w:r>
      <w:r w:rsidR="007E4D8F" w:rsidRPr="00087EA9">
        <w:rPr>
          <w:rFonts w:hint="eastAsia"/>
        </w:rPr>
        <w:t>2050</w:t>
      </w:r>
      <w:r w:rsidR="007E4D8F" w:rsidRPr="00087EA9">
        <w:rPr>
          <w:rFonts w:hint="eastAsia"/>
        </w:rPr>
        <w:t>年</w:t>
      </w:r>
      <w:r w:rsidR="007E4D8F" w:rsidRPr="00087EA9">
        <w:t>的温室气体排放</w:t>
      </w:r>
      <w:r w:rsidR="007E4D8F" w:rsidRPr="00087EA9">
        <w:rPr>
          <w:rFonts w:hint="eastAsia"/>
        </w:rPr>
        <w:t>相比</w:t>
      </w:r>
      <w:r w:rsidR="007E4D8F" w:rsidRPr="00087EA9">
        <w:t>于</w:t>
      </w:r>
      <w:r w:rsidR="007E4D8F" w:rsidRPr="00087EA9">
        <w:rPr>
          <w:rFonts w:hint="eastAsia"/>
        </w:rPr>
        <w:t>1990</w:t>
      </w:r>
      <w:r w:rsidR="007E4D8F" w:rsidRPr="00087EA9">
        <w:rPr>
          <w:rFonts w:hint="eastAsia"/>
        </w:rPr>
        <w:t>年</w:t>
      </w:r>
      <w:r w:rsidR="007E4D8F" w:rsidRPr="00087EA9">
        <w:t>将降低</w:t>
      </w:r>
      <w:r w:rsidR="007E4D8F" w:rsidRPr="00087EA9">
        <w:rPr>
          <w:rFonts w:hint="eastAsia"/>
        </w:rPr>
        <w:t>80</w:t>
      </w:r>
      <w:r w:rsidR="007E4D8F" w:rsidRPr="00087EA9">
        <w:t>%</w:t>
      </w:r>
      <w:r w:rsidR="007E4D8F" w:rsidRPr="00087EA9">
        <w:t>，过渡目标规定</w:t>
      </w:r>
      <w:r w:rsidR="007E4D8F" w:rsidRPr="00087EA9">
        <w:rPr>
          <w:rFonts w:hint="eastAsia"/>
        </w:rPr>
        <w:t>2020</w:t>
      </w:r>
      <w:r w:rsidR="007E4D8F" w:rsidRPr="00087EA9">
        <w:rPr>
          <w:rFonts w:hint="eastAsia"/>
        </w:rPr>
        <w:t>年</w:t>
      </w:r>
      <w:r w:rsidR="007E4D8F" w:rsidRPr="00087EA9">
        <w:t>的温室气体排放将降低</w:t>
      </w:r>
      <w:r w:rsidR="007E4D8F" w:rsidRPr="00087EA9">
        <w:rPr>
          <w:rFonts w:hint="eastAsia"/>
        </w:rPr>
        <w:t>34</w:t>
      </w:r>
      <w:r w:rsidR="007E4D8F" w:rsidRPr="00087EA9">
        <w:t>%</w:t>
      </w:r>
      <w:r w:rsidR="007E4D8F" w:rsidRPr="00087EA9">
        <w:t>。</w:t>
      </w:r>
      <w:r w:rsidR="007E4D8F" w:rsidRPr="00087EA9">
        <w:rPr>
          <w:rFonts w:hint="eastAsia"/>
        </w:rPr>
        <w:t>欧盟《可再生</w:t>
      </w:r>
      <w:r w:rsidR="007E4D8F" w:rsidRPr="00087EA9">
        <w:t>能源指令</w:t>
      </w:r>
      <w:r w:rsidR="007E4D8F" w:rsidRPr="00087EA9">
        <w:rPr>
          <w:rFonts w:hint="eastAsia"/>
        </w:rPr>
        <w:t>》</w:t>
      </w:r>
      <w:r w:rsidR="007E4D8F" w:rsidRPr="00087EA9">
        <w:t>规定到</w:t>
      </w:r>
      <w:r w:rsidR="007E4D8F" w:rsidRPr="00087EA9">
        <w:rPr>
          <w:rFonts w:hint="eastAsia"/>
        </w:rPr>
        <w:t>2020</w:t>
      </w:r>
      <w:r w:rsidR="007E4D8F" w:rsidRPr="00087EA9">
        <w:rPr>
          <w:rFonts w:hint="eastAsia"/>
        </w:rPr>
        <w:t>年</w:t>
      </w:r>
      <w:r w:rsidR="007E4D8F" w:rsidRPr="00087EA9">
        <w:t>英国的可再生能源</w:t>
      </w:r>
      <w:r w:rsidR="007E4D8F" w:rsidRPr="00087EA9">
        <w:rPr>
          <w:rFonts w:hint="eastAsia"/>
        </w:rPr>
        <w:t>在</w:t>
      </w:r>
      <w:r w:rsidR="007E4D8F" w:rsidRPr="00087EA9">
        <w:t>一次能源</w:t>
      </w:r>
      <w:r w:rsidR="007E4D8F" w:rsidRPr="00087EA9">
        <w:rPr>
          <w:rFonts w:hint="eastAsia"/>
        </w:rPr>
        <w:t>的</w:t>
      </w:r>
      <w:r w:rsidR="007E4D8F" w:rsidRPr="00087EA9">
        <w:t>比重将达到</w:t>
      </w:r>
      <w:r w:rsidR="007E4D8F" w:rsidRPr="00087EA9">
        <w:rPr>
          <w:rFonts w:hint="eastAsia"/>
        </w:rPr>
        <w:t>15</w:t>
      </w:r>
      <w:r w:rsidR="007E4D8F" w:rsidRPr="00087EA9">
        <w:t>%</w:t>
      </w:r>
      <w:r w:rsidR="007E4D8F" w:rsidRPr="00087EA9">
        <w:t>。</w:t>
      </w:r>
      <w:r w:rsidR="007E4D8F" w:rsidRPr="00087EA9">
        <w:rPr>
          <w:rFonts w:hint="eastAsia"/>
        </w:rPr>
        <w:t>为了</w:t>
      </w:r>
      <w:r w:rsidR="007E4D8F" w:rsidRPr="00087EA9">
        <w:t>实现</w:t>
      </w:r>
      <w:r w:rsidR="007E4D8F" w:rsidRPr="00087EA9">
        <w:rPr>
          <w:rFonts w:hint="eastAsia"/>
        </w:rPr>
        <w:t>这些</w:t>
      </w:r>
      <w:r w:rsidR="007E4D8F" w:rsidRPr="00087EA9">
        <w:t>目标，</w:t>
      </w:r>
      <w:r w:rsidR="007E4D8F" w:rsidRPr="00087EA9">
        <w:rPr>
          <w:rFonts w:hint="eastAsia"/>
        </w:rPr>
        <w:t>英国到</w:t>
      </w:r>
      <w:r w:rsidR="007E4D8F" w:rsidRPr="00087EA9">
        <w:rPr>
          <w:rFonts w:hint="eastAsia"/>
        </w:rPr>
        <w:t>2020</w:t>
      </w:r>
      <w:r w:rsidR="007E4D8F" w:rsidRPr="00087EA9">
        <w:rPr>
          <w:rFonts w:hint="eastAsia"/>
        </w:rPr>
        <w:t>年</w:t>
      </w:r>
      <w:r w:rsidR="004D6623">
        <w:rPr>
          <w:rFonts w:hint="eastAsia"/>
        </w:rPr>
        <w:t>在</w:t>
      </w:r>
      <w:r w:rsidR="004D6623">
        <w:t>绿色经济</w:t>
      </w:r>
      <w:r w:rsidR="007E4D8F" w:rsidRPr="00087EA9">
        <w:t>的投资就</w:t>
      </w:r>
      <w:r w:rsidR="007E4D8F" w:rsidRPr="00087EA9">
        <w:rPr>
          <w:rFonts w:hint="eastAsia"/>
        </w:rPr>
        <w:t>需要</w:t>
      </w:r>
      <w:r w:rsidR="007E4D8F" w:rsidRPr="00087EA9">
        <w:t>约</w:t>
      </w:r>
      <w:r w:rsidR="004D6623">
        <w:rPr>
          <w:rFonts w:hint="eastAsia"/>
        </w:rPr>
        <w:t>3.</w:t>
      </w:r>
      <w:r w:rsidR="004D6623">
        <w:t>1</w:t>
      </w:r>
      <w:r w:rsidR="007E4D8F" w:rsidRPr="00087EA9">
        <w:rPr>
          <w:rFonts w:hint="eastAsia"/>
        </w:rPr>
        <w:t>万亿</w:t>
      </w:r>
      <w:r w:rsidR="007E4D8F" w:rsidRPr="00087EA9">
        <w:t>人民币（</w:t>
      </w:r>
      <w:r w:rsidR="004D6623">
        <w:rPr>
          <w:rFonts w:hint="eastAsia"/>
        </w:rPr>
        <w:t>33</w:t>
      </w:r>
      <w:r w:rsidR="007E4D8F" w:rsidRPr="00087EA9">
        <w:rPr>
          <w:rFonts w:hint="eastAsia"/>
        </w:rPr>
        <w:t>00</w:t>
      </w:r>
      <w:r w:rsidR="007E4D8F" w:rsidRPr="00087EA9">
        <w:rPr>
          <w:rFonts w:hint="eastAsia"/>
        </w:rPr>
        <w:t>亿</w:t>
      </w:r>
      <w:r w:rsidR="007E4D8F" w:rsidRPr="00087EA9">
        <w:t>英镑）</w:t>
      </w:r>
      <w:r w:rsidR="007E4D8F" w:rsidRPr="00087EA9">
        <w:rPr>
          <w:rFonts w:hint="eastAsia"/>
        </w:rPr>
        <w:t>。</w:t>
      </w:r>
      <w:r w:rsidR="00567D7E">
        <w:rPr>
          <w:rStyle w:val="FootnoteReference"/>
          <w:rFonts w:ascii="仿宋" w:hAnsi="仿宋"/>
          <w:szCs w:val="32"/>
        </w:rPr>
        <w:footnoteReference w:id="4"/>
      </w:r>
    </w:p>
    <w:p w:rsidR="004A1456" w:rsidRPr="00087EA9" w:rsidRDefault="00B9564A" w:rsidP="002A10AD">
      <w:r>
        <w:rPr>
          <w:rFonts w:hint="eastAsia"/>
        </w:rPr>
        <w:t>为此</w:t>
      </w:r>
      <w:r w:rsidR="00A07E65" w:rsidRPr="00087EA9">
        <w:t>，</w:t>
      </w:r>
      <w:r w:rsidR="00D66511" w:rsidRPr="00087EA9">
        <w:rPr>
          <w:rFonts w:hint="eastAsia"/>
        </w:rPr>
        <w:t>英国</w:t>
      </w:r>
      <w:r w:rsidR="00D66511" w:rsidRPr="00087EA9">
        <w:t>政府决定</w:t>
      </w:r>
      <w:r w:rsidR="00D66511" w:rsidRPr="00087EA9">
        <w:rPr>
          <w:rFonts w:hint="eastAsia"/>
        </w:rPr>
        <w:t>在</w:t>
      </w:r>
      <w:r w:rsidR="00D66511" w:rsidRPr="00087EA9">
        <w:rPr>
          <w:rFonts w:hint="eastAsia"/>
        </w:rPr>
        <w:t>2011</w:t>
      </w:r>
      <w:r w:rsidR="00D66511" w:rsidRPr="00087EA9">
        <w:rPr>
          <w:rFonts w:hint="eastAsia"/>
        </w:rPr>
        <w:t>年</w:t>
      </w:r>
      <w:r w:rsidR="00D66511" w:rsidRPr="00087EA9">
        <w:t>至</w:t>
      </w:r>
      <w:r w:rsidR="00D66511" w:rsidRPr="00087EA9">
        <w:rPr>
          <w:rFonts w:hint="eastAsia"/>
        </w:rPr>
        <w:t>2015</w:t>
      </w:r>
      <w:r w:rsidR="00D66511" w:rsidRPr="00087EA9">
        <w:rPr>
          <w:rFonts w:hint="eastAsia"/>
        </w:rPr>
        <w:t>年</w:t>
      </w:r>
      <w:r w:rsidR="00D66511" w:rsidRPr="00087EA9">
        <w:t>，通过财政向该银行注资</w:t>
      </w:r>
      <w:r w:rsidR="00A16700" w:rsidRPr="00087EA9">
        <w:rPr>
          <w:rFonts w:hint="eastAsia"/>
        </w:rPr>
        <w:t>总计</w:t>
      </w:r>
      <w:r w:rsidR="00FF0027">
        <w:rPr>
          <w:rFonts w:hint="eastAsia"/>
        </w:rPr>
        <w:t>358</w:t>
      </w:r>
      <w:r w:rsidR="00D66511" w:rsidRPr="00087EA9">
        <w:rPr>
          <w:rFonts w:hint="eastAsia"/>
        </w:rPr>
        <w:t>亿</w:t>
      </w:r>
      <w:r w:rsidR="00D66511" w:rsidRPr="00087EA9">
        <w:t>元人民币（</w:t>
      </w:r>
      <w:r w:rsidR="00FF0027">
        <w:rPr>
          <w:rFonts w:hint="eastAsia"/>
        </w:rPr>
        <w:t>38</w:t>
      </w:r>
      <w:r w:rsidR="00D66511" w:rsidRPr="00087EA9">
        <w:rPr>
          <w:rFonts w:hint="eastAsia"/>
        </w:rPr>
        <w:t>亿</w:t>
      </w:r>
      <w:r w:rsidR="00D66511" w:rsidRPr="00087EA9">
        <w:t>英镑</w:t>
      </w:r>
      <w:r w:rsidR="00D66511" w:rsidRPr="00087EA9">
        <w:rPr>
          <w:rFonts w:hint="eastAsia"/>
        </w:rPr>
        <w:t>），</w:t>
      </w:r>
      <w:r w:rsidR="00D66511" w:rsidRPr="00087EA9">
        <w:t>作为英国</w:t>
      </w:r>
      <w:r w:rsidR="00D66511" w:rsidRPr="00087EA9">
        <w:rPr>
          <w:rFonts w:hint="eastAsia"/>
        </w:rPr>
        <w:t>向</w:t>
      </w:r>
      <w:r w:rsidR="00D66511" w:rsidRPr="00087EA9">
        <w:t>绿色经济转型的</w:t>
      </w:r>
      <w:r w:rsidR="00D66511" w:rsidRPr="00087EA9">
        <w:rPr>
          <w:rFonts w:hint="eastAsia"/>
        </w:rPr>
        <w:t>关键</w:t>
      </w:r>
      <w:r w:rsidR="00D66511" w:rsidRPr="00087EA9">
        <w:t>部分。</w:t>
      </w:r>
      <w:r w:rsidR="00A16700" w:rsidRPr="00087EA9">
        <w:rPr>
          <w:rFonts w:hint="eastAsia"/>
        </w:rPr>
        <w:t>2015</w:t>
      </w:r>
      <w:r w:rsidR="00A16700" w:rsidRPr="00087EA9">
        <w:rPr>
          <w:rFonts w:hint="eastAsia"/>
        </w:rPr>
        <w:t>年</w:t>
      </w:r>
      <w:r w:rsidR="00A16700" w:rsidRPr="00087EA9">
        <w:rPr>
          <w:rFonts w:hint="eastAsia"/>
        </w:rPr>
        <w:t>4</w:t>
      </w:r>
      <w:r w:rsidR="00A16700" w:rsidRPr="00087EA9">
        <w:rPr>
          <w:rFonts w:hint="eastAsia"/>
        </w:rPr>
        <w:t>月</w:t>
      </w:r>
      <w:r w:rsidR="00A16700" w:rsidRPr="00087EA9">
        <w:t>后，</w:t>
      </w:r>
      <w:r w:rsidR="009D1D4C" w:rsidRPr="00087EA9">
        <w:rPr>
          <w:rFonts w:hint="eastAsia"/>
        </w:rPr>
        <w:t>如果</w:t>
      </w:r>
      <w:r w:rsidR="009D1D4C" w:rsidRPr="00087EA9">
        <w:t>政府部门净债务占</w:t>
      </w:r>
      <w:r w:rsidR="009D1D4C" w:rsidRPr="00087EA9">
        <w:t>GDP</w:t>
      </w:r>
      <w:r w:rsidR="009D1D4C" w:rsidRPr="00087EA9">
        <w:rPr>
          <w:rFonts w:hint="eastAsia"/>
        </w:rPr>
        <w:t>的</w:t>
      </w:r>
      <w:r w:rsidR="009D1D4C" w:rsidRPr="00087EA9">
        <w:t>比重下降，那么</w:t>
      </w:r>
      <w:r w:rsidR="009D1D4C" w:rsidRPr="00087EA9">
        <w:rPr>
          <w:rFonts w:hint="eastAsia"/>
        </w:rPr>
        <w:t>绿色</w:t>
      </w:r>
      <w:r w:rsidR="009D1D4C" w:rsidRPr="00087EA9">
        <w:t>投资</w:t>
      </w:r>
      <w:r w:rsidR="00A16700" w:rsidRPr="00087EA9">
        <w:t>银行</w:t>
      </w:r>
      <w:r w:rsidR="009D1D4C" w:rsidRPr="00087EA9">
        <w:rPr>
          <w:rFonts w:hint="eastAsia"/>
        </w:rPr>
        <w:t>可以</w:t>
      </w:r>
      <w:r w:rsidR="009D1D4C" w:rsidRPr="00087EA9">
        <w:t>拥有</w:t>
      </w:r>
      <w:r w:rsidR="00A16700" w:rsidRPr="00087EA9">
        <w:rPr>
          <w:rFonts w:hint="eastAsia"/>
        </w:rPr>
        <w:t>自行</w:t>
      </w:r>
      <w:r w:rsidR="00A16700" w:rsidRPr="00087EA9">
        <w:t>融资的权利</w:t>
      </w:r>
      <w:r w:rsidR="00A16700" w:rsidRPr="00087EA9">
        <w:rPr>
          <w:rFonts w:hint="eastAsia"/>
        </w:rPr>
        <w:t>，</w:t>
      </w:r>
      <w:r w:rsidR="00A16700" w:rsidRPr="00087EA9">
        <w:t>而不再依赖于财政出资。</w:t>
      </w:r>
      <w:r w:rsidR="005816ED">
        <w:rPr>
          <w:rFonts w:hint="eastAsia"/>
        </w:rPr>
        <w:t>2012-2014</w:t>
      </w:r>
      <w:r w:rsidR="005816ED">
        <w:rPr>
          <w:rFonts w:hint="eastAsia"/>
        </w:rPr>
        <w:t>年</w:t>
      </w:r>
      <w:r w:rsidR="005816ED">
        <w:t>的运营数据显示</w:t>
      </w:r>
      <w:r w:rsidR="00A07E65" w:rsidRPr="00087EA9">
        <w:t>，英国绿色投资银行每发放</w:t>
      </w:r>
      <w:r w:rsidR="00A07E65" w:rsidRPr="00087EA9">
        <w:rPr>
          <w:rFonts w:hint="eastAsia"/>
        </w:rPr>
        <w:t>1</w:t>
      </w:r>
      <w:r w:rsidR="00A07E65" w:rsidRPr="00087EA9">
        <w:rPr>
          <w:rFonts w:hint="eastAsia"/>
        </w:rPr>
        <w:t>元</w:t>
      </w:r>
      <w:r w:rsidR="00A07E65" w:rsidRPr="00087EA9">
        <w:t>贷款，</w:t>
      </w:r>
      <w:r w:rsidR="00A07E65" w:rsidRPr="00087EA9">
        <w:rPr>
          <w:rFonts w:hint="eastAsia"/>
        </w:rPr>
        <w:t>将吸引</w:t>
      </w:r>
      <w:r w:rsidR="00A07E65" w:rsidRPr="00087EA9">
        <w:t>额外</w:t>
      </w:r>
      <w:r w:rsidR="00A07E65" w:rsidRPr="00087EA9">
        <w:rPr>
          <w:rFonts w:hint="eastAsia"/>
        </w:rPr>
        <w:t>3</w:t>
      </w:r>
      <w:r w:rsidR="00A07E65" w:rsidRPr="00087EA9">
        <w:rPr>
          <w:rFonts w:hint="eastAsia"/>
        </w:rPr>
        <w:t>元</w:t>
      </w:r>
      <w:r w:rsidR="00A07E65" w:rsidRPr="00087EA9">
        <w:t>来自</w:t>
      </w:r>
      <w:r w:rsidR="00A07E65" w:rsidRPr="00087EA9">
        <w:rPr>
          <w:rFonts w:hint="eastAsia"/>
        </w:rPr>
        <w:t>私营</w:t>
      </w:r>
      <w:r w:rsidR="00A07E65" w:rsidRPr="00087EA9">
        <w:t>部门的投资。</w:t>
      </w:r>
      <w:r w:rsidR="00FE6286">
        <w:rPr>
          <w:rStyle w:val="FootnoteReference"/>
          <w:rFonts w:ascii="仿宋" w:hAnsi="仿宋"/>
          <w:szCs w:val="32"/>
        </w:rPr>
        <w:footnoteReference w:id="5"/>
      </w:r>
    </w:p>
    <w:p w:rsidR="008E2631" w:rsidRPr="00087EA9" w:rsidRDefault="008E2631" w:rsidP="005E19DD">
      <w:pPr>
        <w:pStyle w:val="Heading2"/>
      </w:pPr>
      <w:r w:rsidRPr="00087EA9">
        <w:rPr>
          <w:rFonts w:hint="eastAsia"/>
        </w:rPr>
        <w:lastRenderedPageBreak/>
        <w:t>（二</w:t>
      </w:r>
      <w:r w:rsidRPr="00087EA9">
        <w:t>）</w:t>
      </w:r>
      <w:r w:rsidRPr="00087EA9">
        <w:rPr>
          <w:rFonts w:hint="eastAsia"/>
        </w:rPr>
        <w:t>澳大利亚</w:t>
      </w:r>
      <w:r w:rsidRPr="00087EA9">
        <w:t>清洁能源金融公司</w:t>
      </w:r>
    </w:p>
    <w:p w:rsidR="00A07E65" w:rsidRPr="00087EA9" w:rsidRDefault="00D20487" w:rsidP="002A10AD">
      <w:r w:rsidRPr="00087EA9">
        <w:rPr>
          <w:rFonts w:hint="eastAsia"/>
        </w:rPr>
        <w:t>澳大利亚</w:t>
      </w:r>
      <w:r w:rsidRPr="00087EA9">
        <w:t>清洁能源金融公司成立于</w:t>
      </w:r>
      <w:r w:rsidRPr="00087EA9">
        <w:rPr>
          <w:rFonts w:hint="eastAsia"/>
        </w:rPr>
        <w:t>2013</w:t>
      </w:r>
      <w:r w:rsidRPr="00087EA9">
        <w:rPr>
          <w:rFonts w:hint="eastAsia"/>
        </w:rPr>
        <w:t>年</w:t>
      </w:r>
      <w:r w:rsidRPr="00087EA9">
        <w:t>，</w:t>
      </w:r>
      <w:r w:rsidRPr="00087EA9">
        <w:rPr>
          <w:rFonts w:hint="eastAsia"/>
        </w:rPr>
        <w:t>是澳大利亚</w:t>
      </w:r>
      <w:r w:rsidRPr="00087EA9">
        <w:t>政府全资拥有的一家公司。与英国绿色投资银行</w:t>
      </w:r>
      <w:r w:rsidRPr="00087EA9">
        <w:rPr>
          <w:rFonts w:hint="eastAsia"/>
        </w:rPr>
        <w:t>类似</w:t>
      </w:r>
      <w:r w:rsidR="00AF3DC2">
        <w:t>，澳大利亚清洁能源金融公司是</w:t>
      </w:r>
      <w:r w:rsidRPr="00087EA9">
        <w:t>澳大利亚向绿色经济转型的一部分，</w:t>
      </w:r>
      <w:r w:rsidRPr="00087EA9">
        <w:rPr>
          <w:rFonts w:hint="eastAsia"/>
        </w:rPr>
        <w:t>作为</w:t>
      </w:r>
      <w:r w:rsidRPr="00087EA9">
        <w:t>催化剂来促进</w:t>
      </w:r>
      <w:r w:rsidRPr="00087EA9">
        <w:rPr>
          <w:rFonts w:hint="eastAsia"/>
        </w:rPr>
        <w:t>清洁</w:t>
      </w:r>
      <w:r w:rsidRPr="00087EA9">
        <w:t>能源领域的投资。澳大利亚</w:t>
      </w:r>
      <w:r w:rsidRPr="00087EA9">
        <w:rPr>
          <w:rFonts w:hint="eastAsia"/>
        </w:rPr>
        <w:t>清洁</w:t>
      </w:r>
      <w:r w:rsidRPr="00087EA9">
        <w:t>能源金融公司是</w:t>
      </w:r>
      <w:r w:rsidRPr="00087EA9">
        <w:rPr>
          <w:rFonts w:hint="eastAsia"/>
        </w:rPr>
        <w:t>在</w:t>
      </w:r>
      <w:r w:rsidR="00641AE3" w:rsidRPr="00087EA9">
        <w:t>澳大利亚《</w:t>
      </w:r>
      <w:r w:rsidR="00641AE3" w:rsidRPr="00087EA9">
        <w:rPr>
          <w:rFonts w:hint="eastAsia"/>
        </w:rPr>
        <w:t>2012</w:t>
      </w:r>
      <w:r w:rsidR="00641AE3" w:rsidRPr="00087EA9">
        <w:rPr>
          <w:rFonts w:hint="eastAsia"/>
        </w:rPr>
        <w:t>年</w:t>
      </w:r>
      <w:r w:rsidR="00641AE3" w:rsidRPr="00087EA9">
        <w:t>清洁能源金融公司</w:t>
      </w:r>
      <w:r w:rsidR="00641AE3" w:rsidRPr="00087EA9">
        <w:rPr>
          <w:rFonts w:hint="eastAsia"/>
        </w:rPr>
        <w:t>法案</w:t>
      </w:r>
      <w:r w:rsidR="00641AE3" w:rsidRPr="00087EA9">
        <w:t>》</w:t>
      </w:r>
      <w:r w:rsidR="00641AE3" w:rsidRPr="00087EA9">
        <w:rPr>
          <w:rFonts w:hint="eastAsia"/>
        </w:rPr>
        <w:t>的背景</w:t>
      </w:r>
      <w:r w:rsidR="00641AE3" w:rsidRPr="00087EA9">
        <w:t>下成立，</w:t>
      </w:r>
      <w:r w:rsidR="00641AE3" w:rsidRPr="00087EA9">
        <w:rPr>
          <w:rFonts w:hint="eastAsia"/>
        </w:rPr>
        <w:t>在</w:t>
      </w:r>
      <w:r w:rsidR="00641AE3" w:rsidRPr="00087EA9">
        <w:rPr>
          <w:rFonts w:hint="eastAsia"/>
        </w:rPr>
        <w:t>2013</w:t>
      </w:r>
      <w:r w:rsidR="00641AE3" w:rsidRPr="00087EA9">
        <w:rPr>
          <w:rFonts w:hint="eastAsia"/>
        </w:rPr>
        <w:t>年</w:t>
      </w:r>
      <w:r w:rsidR="00641AE3" w:rsidRPr="00087EA9">
        <w:t>至</w:t>
      </w:r>
      <w:r w:rsidR="00641AE3" w:rsidRPr="00087EA9">
        <w:rPr>
          <w:rFonts w:hint="eastAsia"/>
        </w:rPr>
        <w:t>2017</w:t>
      </w:r>
      <w:r w:rsidR="00641AE3" w:rsidRPr="00087EA9">
        <w:rPr>
          <w:rFonts w:hint="eastAsia"/>
        </w:rPr>
        <w:t>年</w:t>
      </w:r>
      <w:r w:rsidR="0040663B">
        <w:rPr>
          <w:rFonts w:hint="eastAsia"/>
        </w:rPr>
        <w:t>五年间</w:t>
      </w:r>
      <w:r w:rsidR="0040663B">
        <w:t>，</w:t>
      </w:r>
      <w:r w:rsidR="00B9564A">
        <w:rPr>
          <w:rFonts w:hint="eastAsia"/>
        </w:rPr>
        <w:t>澳大利亚</w:t>
      </w:r>
      <w:r w:rsidR="00641AE3" w:rsidRPr="00087EA9">
        <w:t>财政部</w:t>
      </w:r>
      <w:r w:rsidR="00B9564A">
        <w:rPr>
          <w:rFonts w:hint="eastAsia"/>
        </w:rPr>
        <w:t>将</w:t>
      </w:r>
      <w:r w:rsidR="00B9564A">
        <w:t>每年</w:t>
      </w:r>
      <w:r w:rsidR="00641AE3" w:rsidRPr="00087EA9">
        <w:t>向该银行注资</w:t>
      </w:r>
      <w:r w:rsidR="00641AE3" w:rsidRPr="00087EA9">
        <w:rPr>
          <w:rFonts w:hint="eastAsia"/>
        </w:rPr>
        <w:t>102</w:t>
      </w:r>
      <w:r w:rsidR="00641AE3" w:rsidRPr="00087EA9">
        <w:rPr>
          <w:rFonts w:hint="eastAsia"/>
        </w:rPr>
        <w:t>亿</w:t>
      </w:r>
      <w:r w:rsidR="00641AE3" w:rsidRPr="00087EA9">
        <w:t>元人民币（</w:t>
      </w:r>
      <w:r w:rsidR="00641AE3" w:rsidRPr="00087EA9">
        <w:rPr>
          <w:rFonts w:hint="eastAsia"/>
        </w:rPr>
        <w:t>20</w:t>
      </w:r>
      <w:r w:rsidR="00641AE3" w:rsidRPr="00087EA9">
        <w:rPr>
          <w:rFonts w:hint="eastAsia"/>
        </w:rPr>
        <w:t>亿</w:t>
      </w:r>
      <w:r w:rsidR="00641AE3" w:rsidRPr="00087EA9">
        <w:t>澳元）</w:t>
      </w:r>
      <w:r w:rsidR="00641AE3" w:rsidRPr="00087EA9">
        <w:rPr>
          <w:rFonts w:hint="eastAsia"/>
        </w:rPr>
        <w:t>，</w:t>
      </w:r>
      <w:r w:rsidR="00641AE3" w:rsidRPr="00087EA9">
        <w:t>总计</w:t>
      </w:r>
      <w:r w:rsidR="00641AE3" w:rsidRPr="00087EA9">
        <w:rPr>
          <w:rFonts w:hint="eastAsia"/>
        </w:rPr>
        <w:t>510</w:t>
      </w:r>
      <w:r w:rsidR="00641AE3" w:rsidRPr="00087EA9">
        <w:rPr>
          <w:rFonts w:hint="eastAsia"/>
        </w:rPr>
        <w:t>亿</w:t>
      </w:r>
      <w:r w:rsidR="00641AE3" w:rsidRPr="00087EA9">
        <w:t>元人民币（</w:t>
      </w:r>
      <w:r w:rsidR="00641AE3" w:rsidRPr="00087EA9">
        <w:rPr>
          <w:rFonts w:hint="eastAsia"/>
        </w:rPr>
        <w:t>10</w:t>
      </w:r>
      <w:r w:rsidR="00641AE3" w:rsidRPr="00087EA9">
        <w:t>0</w:t>
      </w:r>
      <w:r w:rsidR="00641AE3" w:rsidRPr="00087EA9">
        <w:rPr>
          <w:rFonts w:hint="eastAsia"/>
        </w:rPr>
        <w:t>亿</w:t>
      </w:r>
      <w:r w:rsidR="00641AE3" w:rsidRPr="00087EA9">
        <w:t>澳元</w:t>
      </w:r>
      <w:r w:rsidR="00641AE3" w:rsidRPr="00087EA9">
        <w:rPr>
          <w:rFonts w:hint="eastAsia"/>
        </w:rPr>
        <w:t>）。</w:t>
      </w:r>
    </w:p>
    <w:p w:rsidR="008E2631" w:rsidRPr="00087EA9" w:rsidRDefault="008E2631" w:rsidP="005E19DD">
      <w:pPr>
        <w:pStyle w:val="Heading2"/>
      </w:pPr>
      <w:r w:rsidRPr="00087EA9">
        <w:rPr>
          <w:rFonts w:hint="eastAsia"/>
        </w:rPr>
        <w:t>（三</w:t>
      </w:r>
      <w:r w:rsidRPr="00087EA9">
        <w:t>）</w:t>
      </w:r>
      <w:r w:rsidRPr="00087EA9">
        <w:rPr>
          <w:rFonts w:hint="eastAsia"/>
        </w:rPr>
        <w:t>美国</w:t>
      </w:r>
      <w:r w:rsidRPr="00087EA9">
        <w:t>纽约州绿色银行</w:t>
      </w:r>
    </w:p>
    <w:p w:rsidR="00B9564A" w:rsidRDefault="00641AE3" w:rsidP="002A10AD">
      <w:r w:rsidRPr="00087EA9">
        <w:rPr>
          <w:rFonts w:hint="eastAsia"/>
        </w:rPr>
        <w:t>美国</w:t>
      </w:r>
      <w:r w:rsidRPr="00087EA9">
        <w:t>纽约州绿色银行是</w:t>
      </w:r>
      <w:r w:rsidR="00893D0B" w:rsidRPr="00087EA9">
        <w:rPr>
          <w:rFonts w:hint="eastAsia"/>
        </w:rPr>
        <w:t>在</w:t>
      </w:r>
      <w:r w:rsidR="00893D0B" w:rsidRPr="00087EA9">
        <w:rPr>
          <w:rFonts w:hint="eastAsia"/>
        </w:rPr>
        <w:t>2013</w:t>
      </w:r>
      <w:r w:rsidR="00893D0B" w:rsidRPr="00087EA9">
        <w:rPr>
          <w:rFonts w:hint="eastAsia"/>
        </w:rPr>
        <w:t>年</w:t>
      </w:r>
      <w:r w:rsidR="00893D0B" w:rsidRPr="00087EA9">
        <w:rPr>
          <w:rFonts w:hint="eastAsia"/>
        </w:rPr>
        <w:t>1</w:t>
      </w:r>
      <w:r w:rsidR="00893D0B" w:rsidRPr="00087EA9">
        <w:rPr>
          <w:rFonts w:hint="eastAsia"/>
        </w:rPr>
        <w:t>月</w:t>
      </w:r>
      <w:r w:rsidR="00EE4E1B" w:rsidRPr="00087EA9">
        <w:rPr>
          <w:rFonts w:hint="eastAsia"/>
        </w:rPr>
        <w:t>，</w:t>
      </w:r>
      <w:r w:rsidR="00EE4E1B" w:rsidRPr="00087EA9">
        <w:t>由</w:t>
      </w:r>
      <w:r w:rsidR="00893D0B" w:rsidRPr="00087EA9">
        <w:t>纽约州州长</w:t>
      </w:r>
      <w:r w:rsidR="00893D0B" w:rsidRPr="00087EA9">
        <w:rPr>
          <w:rFonts w:hint="eastAsia"/>
        </w:rPr>
        <w:t>安德鲁·库默</w:t>
      </w:r>
      <w:r w:rsidR="00EE4E1B" w:rsidRPr="00087EA9">
        <w:rPr>
          <w:rFonts w:hint="eastAsia"/>
        </w:rPr>
        <w:t>（</w:t>
      </w:r>
      <w:r w:rsidR="00893D0B" w:rsidRPr="00087EA9">
        <w:rPr>
          <w:rFonts w:hint="eastAsia"/>
        </w:rPr>
        <w:t xml:space="preserve">Andrew M. </w:t>
      </w:r>
      <w:r w:rsidR="00893D0B" w:rsidRPr="00087EA9">
        <w:t>Cuomo</w:t>
      </w:r>
      <w:r w:rsidR="00EE4E1B" w:rsidRPr="00087EA9">
        <w:rPr>
          <w:rFonts w:hint="eastAsia"/>
        </w:rPr>
        <w:t>）提议设立</w:t>
      </w:r>
      <w:r w:rsidR="00EE4E1B" w:rsidRPr="00087EA9">
        <w:t>的。</w:t>
      </w:r>
      <w:r w:rsidR="00EE4E1B" w:rsidRPr="00087EA9">
        <w:rPr>
          <w:rFonts w:hint="eastAsia"/>
        </w:rPr>
        <w:t>安德鲁·库默提出</w:t>
      </w:r>
      <w:r w:rsidR="00EE4E1B" w:rsidRPr="00087EA9">
        <w:t>要建立一家</w:t>
      </w:r>
      <w:r w:rsidR="00EE4E1B" w:rsidRPr="00087EA9">
        <w:rPr>
          <w:rFonts w:hint="eastAsia"/>
        </w:rPr>
        <w:t>62</w:t>
      </w:r>
      <w:r w:rsidR="00EE4E1B" w:rsidRPr="00087EA9">
        <w:rPr>
          <w:rFonts w:hint="eastAsia"/>
        </w:rPr>
        <w:t>亿</w:t>
      </w:r>
      <w:r w:rsidR="00EE4E1B" w:rsidRPr="00087EA9">
        <w:t>元人民币（</w:t>
      </w:r>
      <w:r w:rsidR="00EE4E1B" w:rsidRPr="00087EA9">
        <w:rPr>
          <w:rFonts w:hint="eastAsia"/>
        </w:rPr>
        <w:t>10</w:t>
      </w:r>
      <w:r w:rsidR="00EE4E1B" w:rsidRPr="00087EA9">
        <w:rPr>
          <w:rFonts w:hint="eastAsia"/>
        </w:rPr>
        <w:t>亿</w:t>
      </w:r>
      <w:r w:rsidR="00EE4E1B" w:rsidRPr="00087EA9">
        <w:t>美元</w:t>
      </w:r>
      <w:r w:rsidR="00EE4E1B" w:rsidRPr="00087EA9">
        <w:rPr>
          <w:rFonts w:hint="eastAsia"/>
        </w:rPr>
        <w:t>）</w:t>
      </w:r>
      <w:r w:rsidR="00EE4E1B" w:rsidRPr="00087EA9">
        <w:t>的绿色银行</w:t>
      </w:r>
      <w:r w:rsidR="00EE4E1B" w:rsidRPr="00087EA9">
        <w:rPr>
          <w:rFonts w:hint="eastAsia"/>
        </w:rPr>
        <w:t>，</w:t>
      </w:r>
      <w:r w:rsidR="00EE4E1B" w:rsidRPr="00087EA9">
        <w:t>以有限的公共资金</w:t>
      </w:r>
      <w:r w:rsidR="00EE4E1B" w:rsidRPr="00087EA9">
        <w:rPr>
          <w:rFonts w:hint="eastAsia"/>
        </w:rPr>
        <w:t>带动</w:t>
      </w:r>
      <w:r w:rsidR="00EE4E1B" w:rsidRPr="00087EA9">
        <w:t>数倍的私营资本投资纽约的清洁能源</w:t>
      </w:r>
      <w:r w:rsidR="00EE4E1B" w:rsidRPr="00087EA9">
        <w:rPr>
          <w:rFonts w:hint="eastAsia"/>
        </w:rPr>
        <w:t>行业</w:t>
      </w:r>
      <w:r w:rsidR="00EE4E1B" w:rsidRPr="00087EA9">
        <w:t>。</w:t>
      </w:r>
      <w:r w:rsidR="00D0092E" w:rsidRPr="00087EA9">
        <w:rPr>
          <w:rFonts w:hint="eastAsia"/>
        </w:rPr>
        <w:t>纽约州</w:t>
      </w:r>
      <w:r w:rsidR="00D0092E" w:rsidRPr="00087EA9">
        <w:t>每年花费</w:t>
      </w:r>
      <w:r w:rsidR="00D0092E" w:rsidRPr="00087EA9">
        <w:rPr>
          <w:rFonts w:hint="eastAsia"/>
        </w:rPr>
        <w:t>约</w:t>
      </w:r>
      <w:r w:rsidR="00D0092E" w:rsidRPr="00087EA9">
        <w:rPr>
          <w:rFonts w:hint="eastAsia"/>
        </w:rPr>
        <w:t>87</w:t>
      </w:r>
      <w:r w:rsidR="00D0092E" w:rsidRPr="00087EA9">
        <w:rPr>
          <w:rFonts w:hint="eastAsia"/>
        </w:rPr>
        <w:t>亿</w:t>
      </w:r>
      <w:r w:rsidR="00D0092E" w:rsidRPr="00087EA9">
        <w:t>元人民币（</w:t>
      </w:r>
      <w:r w:rsidR="00D0092E" w:rsidRPr="00087EA9">
        <w:rPr>
          <w:rFonts w:hint="eastAsia"/>
        </w:rPr>
        <w:t>14</w:t>
      </w:r>
      <w:r w:rsidR="00D0092E" w:rsidRPr="00087EA9">
        <w:rPr>
          <w:rFonts w:hint="eastAsia"/>
        </w:rPr>
        <w:t>亿</w:t>
      </w:r>
      <w:r w:rsidR="00D0092E" w:rsidRPr="00087EA9">
        <w:t>美元）</w:t>
      </w:r>
      <w:r w:rsidR="00D0092E" w:rsidRPr="00087EA9">
        <w:rPr>
          <w:rFonts w:hint="eastAsia"/>
        </w:rPr>
        <w:t>用于</w:t>
      </w:r>
      <w:r w:rsidR="00D0092E" w:rsidRPr="00087EA9">
        <w:t>促进</w:t>
      </w:r>
      <w:r w:rsidR="00D0092E" w:rsidRPr="00087EA9">
        <w:rPr>
          <w:rFonts w:hint="eastAsia"/>
        </w:rPr>
        <w:t>可再生</w:t>
      </w:r>
      <w:r w:rsidR="00D0092E" w:rsidRPr="00087EA9">
        <w:t>能源和节能行业，但近乎</w:t>
      </w:r>
      <w:r w:rsidR="00D0092E" w:rsidRPr="00087EA9">
        <w:rPr>
          <w:rFonts w:hint="eastAsia"/>
        </w:rPr>
        <w:t>80</w:t>
      </w:r>
      <w:r w:rsidR="00D0092E" w:rsidRPr="00087EA9">
        <w:t>%</w:t>
      </w:r>
      <w:r w:rsidR="00D0092E" w:rsidRPr="00087EA9">
        <w:t>是</w:t>
      </w:r>
      <w:r w:rsidR="00D0092E" w:rsidRPr="00087EA9">
        <w:rPr>
          <w:rFonts w:hint="eastAsia"/>
        </w:rPr>
        <w:t>一次性</w:t>
      </w:r>
      <w:r w:rsidR="00D0092E" w:rsidRPr="00087EA9">
        <w:t>补贴</w:t>
      </w:r>
      <w:r w:rsidR="00D0092E" w:rsidRPr="00087EA9">
        <w:rPr>
          <w:rFonts w:hint="eastAsia"/>
        </w:rPr>
        <w:t>或拨款</w:t>
      </w:r>
      <w:r w:rsidR="00D0092E" w:rsidRPr="00087EA9">
        <w:t>。纽约州</w:t>
      </w:r>
      <w:r w:rsidR="00D0092E" w:rsidRPr="00087EA9">
        <w:rPr>
          <w:rFonts w:hint="eastAsia"/>
        </w:rPr>
        <w:t>希望</w:t>
      </w:r>
      <w:r w:rsidR="00D0092E" w:rsidRPr="00087EA9">
        <w:t>通过建立</w:t>
      </w:r>
      <w:r w:rsidR="00D0092E" w:rsidRPr="00087EA9">
        <w:rPr>
          <w:rFonts w:hint="eastAsia"/>
        </w:rPr>
        <w:t>绿色</w:t>
      </w:r>
      <w:r w:rsidR="00D0092E" w:rsidRPr="00087EA9">
        <w:t>银行，带动私营部门向绿色行业投资。</w:t>
      </w:r>
    </w:p>
    <w:p w:rsidR="00641AE3" w:rsidRPr="00087EA9" w:rsidRDefault="00D0092E" w:rsidP="002A10AD">
      <w:r w:rsidRPr="00087EA9">
        <w:rPr>
          <w:rFonts w:hint="eastAsia"/>
        </w:rPr>
        <w:t>纽约</w:t>
      </w:r>
      <w:r w:rsidRPr="00087EA9">
        <w:t>州绿色银行的</w:t>
      </w:r>
      <w:r w:rsidRPr="00087EA9">
        <w:rPr>
          <w:rFonts w:hint="eastAsia"/>
        </w:rPr>
        <w:t>初始资本金</w:t>
      </w:r>
      <w:r w:rsidR="00B9564A">
        <w:rPr>
          <w:rFonts w:hint="eastAsia"/>
        </w:rPr>
        <w:t>为</w:t>
      </w:r>
      <w:r w:rsidR="00D70E60" w:rsidRPr="00087EA9">
        <w:rPr>
          <w:rFonts w:hint="eastAsia"/>
        </w:rPr>
        <w:t>13.6</w:t>
      </w:r>
      <w:r w:rsidR="00D70E60" w:rsidRPr="00087EA9">
        <w:rPr>
          <w:rFonts w:hint="eastAsia"/>
        </w:rPr>
        <w:t>亿元</w:t>
      </w:r>
      <w:r w:rsidR="00D70E60" w:rsidRPr="00087EA9">
        <w:t>人民币（</w:t>
      </w:r>
      <w:r w:rsidR="00D70E60" w:rsidRPr="00087EA9">
        <w:rPr>
          <w:rFonts w:hint="eastAsia"/>
        </w:rPr>
        <w:t>2.185</w:t>
      </w:r>
      <w:r w:rsidR="00D70E60" w:rsidRPr="00087EA9">
        <w:rPr>
          <w:rFonts w:hint="eastAsia"/>
        </w:rPr>
        <w:t>亿</w:t>
      </w:r>
      <w:r w:rsidR="00D70E60" w:rsidRPr="00087EA9">
        <w:t>美元</w:t>
      </w:r>
      <w:r w:rsidR="00D70E60" w:rsidRPr="00087EA9">
        <w:rPr>
          <w:rFonts w:hint="eastAsia"/>
        </w:rPr>
        <w:t>）</w:t>
      </w:r>
      <w:r w:rsidR="00B9564A">
        <w:rPr>
          <w:rFonts w:hint="eastAsia"/>
        </w:rPr>
        <w:t>，</w:t>
      </w:r>
      <w:r w:rsidR="00B9564A">
        <w:t>其</w:t>
      </w:r>
      <w:r w:rsidR="00D70E60" w:rsidRPr="00087EA9">
        <w:rPr>
          <w:rFonts w:hint="eastAsia"/>
        </w:rPr>
        <w:t>中</w:t>
      </w:r>
      <w:r w:rsidR="00D70E60" w:rsidRPr="00087EA9">
        <w:rPr>
          <w:rFonts w:hint="eastAsia"/>
        </w:rPr>
        <w:t>9.</w:t>
      </w:r>
      <w:r w:rsidR="00D70E60" w:rsidRPr="00087EA9">
        <w:t>7</w:t>
      </w:r>
      <w:r w:rsidR="00D70E60" w:rsidRPr="00087EA9">
        <w:rPr>
          <w:rFonts w:hint="eastAsia"/>
        </w:rPr>
        <w:t>亿</w:t>
      </w:r>
      <w:r w:rsidR="00D70E60" w:rsidRPr="00087EA9">
        <w:t>元人民币（</w:t>
      </w:r>
      <w:r w:rsidR="00D70E60" w:rsidRPr="00087EA9">
        <w:rPr>
          <w:rFonts w:hint="eastAsia"/>
        </w:rPr>
        <w:t>1.656</w:t>
      </w:r>
      <w:r w:rsidR="00D70E60" w:rsidRPr="00087EA9">
        <w:rPr>
          <w:rFonts w:hint="eastAsia"/>
        </w:rPr>
        <w:t>亿</w:t>
      </w:r>
      <w:r w:rsidR="00D70E60" w:rsidRPr="00087EA9">
        <w:t>美元</w:t>
      </w:r>
      <w:r w:rsidR="00D70E60" w:rsidRPr="00087EA9">
        <w:rPr>
          <w:rFonts w:hint="eastAsia"/>
        </w:rPr>
        <w:t>）</w:t>
      </w:r>
      <w:r w:rsidR="00D70E60" w:rsidRPr="00087EA9">
        <w:t>来源</w:t>
      </w:r>
      <w:r w:rsidR="00D70E60" w:rsidRPr="00087EA9">
        <w:rPr>
          <w:rFonts w:hint="eastAsia"/>
        </w:rPr>
        <w:t>于</w:t>
      </w:r>
      <w:r w:rsidRPr="00087EA9">
        <w:rPr>
          <w:rFonts w:hint="eastAsia"/>
        </w:rPr>
        <w:t>纽约州</w:t>
      </w:r>
      <w:r w:rsidRPr="00087EA9">
        <w:t>能源</w:t>
      </w:r>
      <w:r w:rsidRPr="00087EA9">
        <w:rPr>
          <w:rFonts w:hint="eastAsia"/>
        </w:rPr>
        <w:t>研究</w:t>
      </w:r>
      <w:r w:rsidRPr="00087EA9">
        <w:t>和发展管理局（</w:t>
      </w:r>
      <w:r w:rsidRPr="00087EA9">
        <w:t>New York State Energy Research and Development Authority</w:t>
      </w:r>
      <w:r w:rsidRPr="00087EA9">
        <w:t>）</w:t>
      </w:r>
      <w:r w:rsidRPr="00087EA9">
        <w:rPr>
          <w:rFonts w:hint="eastAsia"/>
        </w:rPr>
        <w:t>所</w:t>
      </w:r>
      <w:r w:rsidR="00D70E60" w:rsidRPr="00087EA9">
        <w:t>管辖的其他项目</w:t>
      </w:r>
      <w:r w:rsidR="00D70E60" w:rsidRPr="00087EA9">
        <w:rPr>
          <w:rFonts w:hint="eastAsia"/>
        </w:rPr>
        <w:t>，</w:t>
      </w:r>
      <w:r w:rsidR="00D70E60" w:rsidRPr="00087EA9">
        <w:t>剩下的</w:t>
      </w:r>
      <w:r w:rsidR="00D70E60" w:rsidRPr="00087EA9">
        <w:rPr>
          <w:rFonts w:hint="eastAsia"/>
        </w:rPr>
        <w:t>3.9</w:t>
      </w:r>
      <w:r w:rsidR="00D70E60" w:rsidRPr="00087EA9">
        <w:rPr>
          <w:rFonts w:hint="eastAsia"/>
        </w:rPr>
        <w:t>亿</w:t>
      </w:r>
      <w:r w:rsidR="00D70E60" w:rsidRPr="00087EA9">
        <w:t>元人</w:t>
      </w:r>
      <w:r w:rsidR="00D70E60" w:rsidRPr="00087EA9">
        <w:lastRenderedPageBreak/>
        <w:t>民币（</w:t>
      </w:r>
      <w:r w:rsidR="00D70E60" w:rsidRPr="00087EA9">
        <w:rPr>
          <w:rFonts w:hint="eastAsia"/>
        </w:rPr>
        <w:t>5290</w:t>
      </w:r>
      <w:r w:rsidR="00D70E60" w:rsidRPr="00087EA9">
        <w:rPr>
          <w:rFonts w:hint="eastAsia"/>
        </w:rPr>
        <w:t>万</w:t>
      </w:r>
      <w:r w:rsidR="00D70E60" w:rsidRPr="00087EA9">
        <w:t>美元）</w:t>
      </w:r>
      <w:r w:rsidR="00D70E60" w:rsidRPr="00087EA9">
        <w:rPr>
          <w:rFonts w:hint="eastAsia"/>
        </w:rPr>
        <w:t>来源于纽约州</w:t>
      </w:r>
      <w:r w:rsidR="00D70E60" w:rsidRPr="00087EA9">
        <w:t>环境保护</w:t>
      </w:r>
      <w:r w:rsidR="00D70E60" w:rsidRPr="00087EA9">
        <w:rPr>
          <w:rFonts w:hint="eastAsia"/>
        </w:rPr>
        <w:t>部（</w:t>
      </w:r>
      <w:r w:rsidR="00D70E60" w:rsidRPr="00087EA9">
        <w:t>New York State Department of Environmental Conservation</w:t>
      </w:r>
      <w:r w:rsidR="00D70E60" w:rsidRPr="00087EA9">
        <w:t>）。</w:t>
      </w:r>
      <w:r w:rsidR="00FE6286">
        <w:rPr>
          <w:rStyle w:val="FootnoteReference"/>
          <w:rFonts w:ascii="仿宋" w:hAnsi="仿宋"/>
          <w:szCs w:val="32"/>
        </w:rPr>
        <w:footnoteReference w:id="6"/>
      </w:r>
    </w:p>
    <w:p w:rsidR="008E2631" w:rsidRPr="00087EA9" w:rsidRDefault="008E2631" w:rsidP="005E19DD">
      <w:pPr>
        <w:pStyle w:val="Heading2"/>
      </w:pPr>
      <w:r w:rsidRPr="00087EA9">
        <w:rPr>
          <w:rFonts w:hint="eastAsia"/>
        </w:rPr>
        <w:t>（四</w:t>
      </w:r>
      <w:r w:rsidRPr="00087EA9">
        <w:t>）</w:t>
      </w:r>
      <w:r w:rsidRPr="00087EA9">
        <w:rPr>
          <w:rFonts w:hint="eastAsia"/>
        </w:rPr>
        <w:t>美国康涅狄格州绿色</w:t>
      </w:r>
      <w:r w:rsidRPr="00087EA9">
        <w:t>银行</w:t>
      </w:r>
    </w:p>
    <w:p w:rsidR="00B9564A" w:rsidRDefault="00045C93" w:rsidP="002A10AD">
      <w:r w:rsidRPr="00087EA9">
        <w:rPr>
          <w:rFonts w:hint="eastAsia"/>
        </w:rPr>
        <w:t>美国康涅狄格州绿色</w:t>
      </w:r>
      <w:r w:rsidRPr="00087EA9">
        <w:t>银行</w:t>
      </w:r>
      <w:r w:rsidRPr="00087EA9">
        <w:rPr>
          <w:rFonts w:hint="eastAsia"/>
        </w:rPr>
        <w:t>成立于</w:t>
      </w:r>
      <w:r w:rsidRPr="00087EA9">
        <w:rPr>
          <w:rFonts w:hint="eastAsia"/>
        </w:rPr>
        <w:t>2011</w:t>
      </w:r>
      <w:r w:rsidRPr="00087EA9">
        <w:rPr>
          <w:rFonts w:hint="eastAsia"/>
        </w:rPr>
        <w:t>年</w:t>
      </w:r>
      <w:r w:rsidRPr="00087EA9">
        <w:t>，是</w:t>
      </w:r>
      <w:r w:rsidRPr="00087EA9">
        <w:rPr>
          <w:rFonts w:hint="eastAsia"/>
        </w:rPr>
        <w:t>美国</w:t>
      </w:r>
      <w:r w:rsidRPr="00087EA9">
        <w:t>第一家绿色银行，</w:t>
      </w:r>
      <w:r w:rsidRPr="00087EA9">
        <w:rPr>
          <w:rFonts w:hint="eastAsia"/>
        </w:rPr>
        <w:t>其</w:t>
      </w:r>
      <w:r w:rsidRPr="00087EA9">
        <w:t>前身为</w:t>
      </w:r>
      <w:r w:rsidRPr="00087EA9">
        <w:rPr>
          <w:rFonts w:hint="eastAsia"/>
        </w:rPr>
        <w:t>清洁</w:t>
      </w:r>
      <w:r w:rsidRPr="00087EA9">
        <w:t>能源</w:t>
      </w:r>
      <w:r w:rsidRPr="00087EA9">
        <w:rPr>
          <w:rFonts w:hint="eastAsia"/>
        </w:rPr>
        <w:t>金融</w:t>
      </w:r>
      <w:r w:rsidRPr="00087EA9">
        <w:t>与投资管理局（</w:t>
      </w:r>
      <w:r w:rsidRPr="00087EA9">
        <w:t>Clean Energy Finance and Investment Authority</w:t>
      </w:r>
      <w:r w:rsidRPr="00087EA9">
        <w:t>）</w:t>
      </w:r>
      <w:r w:rsidRPr="00087EA9">
        <w:rPr>
          <w:rFonts w:hint="eastAsia"/>
        </w:rPr>
        <w:t>，在</w:t>
      </w:r>
      <w:r w:rsidRPr="00087EA9">
        <w:rPr>
          <w:rFonts w:hint="eastAsia"/>
        </w:rPr>
        <w:t>2014</w:t>
      </w:r>
      <w:r w:rsidRPr="00087EA9">
        <w:rPr>
          <w:rFonts w:hint="eastAsia"/>
        </w:rPr>
        <w:t>改名</w:t>
      </w:r>
      <w:r w:rsidRPr="00087EA9">
        <w:t>为</w:t>
      </w:r>
      <w:r w:rsidRPr="00087EA9">
        <w:rPr>
          <w:rFonts w:hint="eastAsia"/>
        </w:rPr>
        <w:t>康涅狄格州</w:t>
      </w:r>
      <w:r w:rsidRPr="00087EA9">
        <w:t>绿色银行。</w:t>
      </w:r>
      <w:r w:rsidRPr="00087EA9">
        <w:rPr>
          <w:rFonts w:hint="eastAsia"/>
        </w:rPr>
        <w:t>在</w:t>
      </w:r>
      <w:r w:rsidRPr="00087EA9">
        <w:t>过去的几年中，</w:t>
      </w:r>
      <w:r w:rsidRPr="00087EA9">
        <w:rPr>
          <w:rFonts w:hint="eastAsia"/>
        </w:rPr>
        <w:t>康涅狄格州</w:t>
      </w:r>
      <w:r w:rsidRPr="00087EA9">
        <w:t>绿色银行</w:t>
      </w:r>
      <w:r w:rsidRPr="00087EA9">
        <w:rPr>
          <w:rFonts w:hint="eastAsia"/>
        </w:rPr>
        <w:t>完成</w:t>
      </w:r>
      <w:r w:rsidRPr="00087EA9">
        <w:t>了</w:t>
      </w:r>
      <w:r w:rsidRPr="00087EA9">
        <w:rPr>
          <w:rFonts w:hint="eastAsia"/>
        </w:rPr>
        <w:t>从</w:t>
      </w:r>
      <w:r w:rsidRPr="00087EA9">
        <w:t>传统政府</w:t>
      </w:r>
      <w:r w:rsidRPr="00087EA9">
        <w:rPr>
          <w:rFonts w:hint="eastAsia"/>
        </w:rPr>
        <w:t>项目</w:t>
      </w:r>
      <w:r w:rsidRPr="00087EA9">
        <w:t>向</w:t>
      </w:r>
      <w:r w:rsidRPr="00087EA9">
        <w:rPr>
          <w:rFonts w:hint="eastAsia"/>
        </w:rPr>
        <w:t>绿色</w:t>
      </w:r>
      <w:r w:rsidRPr="00087EA9">
        <w:t>银行转变的过程。</w:t>
      </w:r>
      <w:r w:rsidRPr="00087EA9">
        <w:rPr>
          <w:rFonts w:hint="eastAsia"/>
        </w:rPr>
        <w:t>在</w:t>
      </w:r>
      <w:r w:rsidRPr="00087EA9">
        <w:t>过去，</w:t>
      </w:r>
      <w:r w:rsidRPr="00087EA9">
        <w:rPr>
          <w:rFonts w:hint="eastAsia"/>
        </w:rPr>
        <w:t>清洁</w:t>
      </w:r>
      <w:r w:rsidRPr="00087EA9">
        <w:t>能源</w:t>
      </w:r>
      <w:r w:rsidRPr="00087EA9">
        <w:rPr>
          <w:rFonts w:hint="eastAsia"/>
        </w:rPr>
        <w:t>金融</w:t>
      </w:r>
      <w:r w:rsidRPr="00087EA9">
        <w:t>与投资管理局</w:t>
      </w:r>
      <w:r w:rsidRPr="00087EA9">
        <w:rPr>
          <w:rFonts w:hint="eastAsia"/>
        </w:rPr>
        <w:t>的</w:t>
      </w:r>
      <w:r w:rsidRPr="00087EA9">
        <w:rPr>
          <w:rFonts w:hint="eastAsia"/>
        </w:rPr>
        <w:t>80</w:t>
      </w:r>
      <w:r w:rsidRPr="00087EA9">
        <w:t>%</w:t>
      </w:r>
      <w:r w:rsidRPr="00087EA9">
        <w:t>资金</w:t>
      </w:r>
      <w:r w:rsidRPr="00087EA9">
        <w:rPr>
          <w:rFonts w:hint="eastAsia"/>
        </w:rPr>
        <w:t>是</w:t>
      </w:r>
      <w:r w:rsidRPr="00087EA9">
        <w:t>以拨款、退税和补贴的方式建设</w:t>
      </w:r>
      <w:r w:rsidRPr="00087EA9">
        <w:rPr>
          <w:rFonts w:hint="eastAsia"/>
        </w:rPr>
        <w:t>康涅狄格州的清洁</w:t>
      </w:r>
      <w:r w:rsidRPr="00087EA9">
        <w:t>能源市场</w:t>
      </w:r>
      <w:r w:rsidRPr="00087EA9">
        <w:rPr>
          <w:rFonts w:hint="eastAsia"/>
        </w:rPr>
        <w:t>。</w:t>
      </w:r>
      <w:r w:rsidRPr="00087EA9">
        <w:t>现在</w:t>
      </w:r>
      <w:r w:rsidRPr="00087EA9">
        <w:rPr>
          <w:rFonts w:hint="eastAsia"/>
        </w:rPr>
        <w:t>，康涅狄格州</w:t>
      </w:r>
      <w:r w:rsidRPr="00087EA9">
        <w:t>绿色银行超过</w:t>
      </w:r>
      <w:r w:rsidRPr="00087EA9">
        <w:rPr>
          <w:rFonts w:hint="eastAsia"/>
        </w:rPr>
        <w:t>80</w:t>
      </w:r>
      <w:r w:rsidRPr="00087EA9">
        <w:t>%</w:t>
      </w:r>
      <w:r w:rsidRPr="00087EA9">
        <w:t>的资金</w:t>
      </w:r>
      <w:r w:rsidRPr="00087EA9">
        <w:rPr>
          <w:rFonts w:hint="eastAsia"/>
        </w:rPr>
        <w:t>用于</w:t>
      </w:r>
      <w:r w:rsidRPr="00087EA9">
        <w:t>贷款、</w:t>
      </w:r>
      <w:r w:rsidRPr="00087EA9">
        <w:rPr>
          <w:rFonts w:hint="eastAsia"/>
        </w:rPr>
        <w:t>租赁</w:t>
      </w:r>
      <w:r w:rsidRPr="00087EA9">
        <w:t>和信用</w:t>
      </w:r>
      <w:r w:rsidRPr="00087EA9">
        <w:rPr>
          <w:rFonts w:hint="eastAsia"/>
        </w:rPr>
        <w:t>增级</w:t>
      </w:r>
      <w:r w:rsidRPr="00087EA9">
        <w:t>。</w:t>
      </w:r>
    </w:p>
    <w:p w:rsidR="00D70E60" w:rsidRPr="00087EA9" w:rsidRDefault="008A6066" w:rsidP="002A10AD">
      <w:r w:rsidRPr="00087EA9">
        <w:rPr>
          <w:rFonts w:hint="eastAsia"/>
        </w:rPr>
        <w:t>该</w:t>
      </w:r>
      <w:r w:rsidRPr="00087EA9">
        <w:t>银行的资</w:t>
      </w:r>
      <w:r w:rsidR="0002120C" w:rsidRPr="00087EA9">
        <w:t>金来源</w:t>
      </w:r>
      <w:r w:rsidRPr="00087EA9">
        <w:rPr>
          <w:rFonts w:hint="eastAsia"/>
        </w:rPr>
        <w:t>丰富</w:t>
      </w:r>
      <w:r w:rsidRPr="00087EA9">
        <w:t>，</w:t>
      </w:r>
      <w:r w:rsidRPr="00087EA9">
        <w:rPr>
          <w:rFonts w:hint="eastAsia"/>
        </w:rPr>
        <w:t>既有</w:t>
      </w:r>
      <w:r w:rsidRPr="00087EA9">
        <w:t>来自于美国和加拿大</w:t>
      </w:r>
      <w:r w:rsidRPr="00087EA9">
        <w:rPr>
          <w:rFonts w:hint="eastAsia"/>
        </w:rPr>
        <w:t>地区</w:t>
      </w:r>
      <w:r w:rsidRPr="00087EA9">
        <w:t>的</w:t>
      </w:r>
      <w:r w:rsidR="00DE081F" w:rsidRPr="00087EA9">
        <w:rPr>
          <w:rFonts w:hint="eastAsia"/>
        </w:rPr>
        <w:t>碳排放</w:t>
      </w:r>
      <w:r w:rsidR="00DE081F" w:rsidRPr="00087EA9">
        <w:t>交易平台（</w:t>
      </w:r>
      <w:r w:rsidRPr="00087EA9">
        <w:rPr>
          <w:rFonts w:hint="eastAsia"/>
        </w:rPr>
        <w:t>区域</w:t>
      </w:r>
      <w:r w:rsidRPr="00087EA9">
        <w:t>温室气体</w:t>
      </w:r>
      <w:r w:rsidRPr="00087EA9">
        <w:rPr>
          <w:rFonts w:hint="eastAsia"/>
        </w:rPr>
        <w:t>倡议</w:t>
      </w:r>
      <w:r w:rsidR="00DE081F" w:rsidRPr="00087EA9">
        <w:rPr>
          <w:rFonts w:hint="eastAsia"/>
        </w:rPr>
        <w:t>，</w:t>
      </w:r>
      <w:r w:rsidRPr="00087EA9">
        <w:t>Regional Greenhouse Gas Initiative</w:t>
      </w:r>
      <w:r w:rsidRPr="00087EA9">
        <w:t>）</w:t>
      </w:r>
      <w:r w:rsidR="00B9564A">
        <w:rPr>
          <w:rFonts w:hint="eastAsia"/>
        </w:rPr>
        <w:t>拍卖</w:t>
      </w:r>
      <w:r w:rsidR="00B9564A">
        <w:t>碳排放权</w:t>
      </w:r>
      <w:r w:rsidR="00DE081F" w:rsidRPr="00087EA9">
        <w:rPr>
          <w:rFonts w:hint="eastAsia"/>
        </w:rPr>
        <w:t>的</w:t>
      </w:r>
      <w:r w:rsidRPr="00087EA9">
        <w:rPr>
          <w:rFonts w:hint="eastAsia"/>
        </w:rPr>
        <w:t>资金，</w:t>
      </w:r>
      <w:r w:rsidRPr="00087EA9">
        <w:t>也有</w:t>
      </w:r>
      <w:r w:rsidRPr="00087EA9">
        <w:rPr>
          <w:rFonts w:hint="eastAsia"/>
        </w:rPr>
        <w:t>债券</w:t>
      </w:r>
      <w:r w:rsidRPr="00087EA9">
        <w:t>基金</w:t>
      </w:r>
      <w:r w:rsidRPr="00087EA9">
        <w:rPr>
          <w:rFonts w:hint="eastAsia"/>
        </w:rPr>
        <w:t>，</w:t>
      </w:r>
      <w:r w:rsidRPr="00087EA9">
        <w:t>包括</w:t>
      </w:r>
      <w:r w:rsidRPr="00087EA9">
        <w:rPr>
          <w:rFonts w:hint="eastAsia"/>
        </w:rPr>
        <w:t>特别</w:t>
      </w:r>
      <w:r w:rsidRPr="00087EA9">
        <w:t>资本储备基金</w:t>
      </w:r>
      <w:r w:rsidRPr="00087EA9">
        <w:rPr>
          <w:rFonts w:hint="eastAsia"/>
        </w:rPr>
        <w:t>和</w:t>
      </w:r>
      <w:r w:rsidRPr="00087EA9">
        <w:t>绿色贷款担保基金</w:t>
      </w:r>
      <w:r w:rsidRPr="00087EA9">
        <w:rPr>
          <w:rFonts w:hint="eastAsia"/>
        </w:rPr>
        <w:t>等</w:t>
      </w:r>
      <w:r w:rsidRPr="00087EA9">
        <w:t>。</w:t>
      </w:r>
      <w:r w:rsidR="0002120C" w:rsidRPr="00087EA9">
        <w:rPr>
          <w:rFonts w:hint="eastAsia"/>
        </w:rPr>
        <w:t>美国康涅狄格州绿色</w:t>
      </w:r>
      <w:r w:rsidR="0002120C" w:rsidRPr="00087EA9">
        <w:t>银行</w:t>
      </w:r>
      <w:r w:rsidR="0002120C" w:rsidRPr="00087EA9">
        <w:rPr>
          <w:rFonts w:hint="eastAsia"/>
        </w:rPr>
        <w:t>2014</w:t>
      </w:r>
      <w:r w:rsidR="0002120C" w:rsidRPr="00087EA9">
        <w:rPr>
          <w:rFonts w:hint="eastAsia"/>
        </w:rPr>
        <w:t>财年</w:t>
      </w:r>
      <w:r w:rsidR="0002120C" w:rsidRPr="00087EA9">
        <w:t>的</w:t>
      </w:r>
      <w:r w:rsidR="0002120C" w:rsidRPr="00087EA9">
        <w:rPr>
          <w:rFonts w:hint="eastAsia"/>
        </w:rPr>
        <w:t>经费</w:t>
      </w:r>
      <w:r w:rsidR="0002120C" w:rsidRPr="00087EA9">
        <w:t>为</w:t>
      </w:r>
      <w:r w:rsidR="0002120C" w:rsidRPr="00087EA9">
        <w:rPr>
          <w:rFonts w:hint="eastAsia"/>
        </w:rPr>
        <w:t>4.</w:t>
      </w:r>
      <w:r w:rsidR="0002120C" w:rsidRPr="00087EA9">
        <w:t>9</w:t>
      </w:r>
      <w:r w:rsidR="0002120C" w:rsidRPr="00087EA9">
        <w:rPr>
          <w:rFonts w:hint="eastAsia"/>
        </w:rPr>
        <w:t>亿</w:t>
      </w:r>
      <w:r w:rsidR="0002120C" w:rsidRPr="00087EA9">
        <w:t>元人民币（</w:t>
      </w:r>
      <w:r w:rsidR="0002120C" w:rsidRPr="00087EA9">
        <w:rPr>
          <w:rFonts w:hint="eastAsia"/>
        </w:rPr>
        <w:t>7870</w:t>
      </w:r>
      <w:r w:rsidR="0002120C" w:rsidRPr="00087EA9">
        <w:rPr>
          <w:rFonts w:hint="eastAsia"/>
        </w:rPr>
        <w:t>万</w:t>
      </w:r>
      <w:r w:rsidR="0002120C" w:rsidRPr="00087EA9">
        <w:t>美元）</w:t>
      </w:r>
      <w:r w:rsidR="00805AB4" w:rsidRPr="00087EA9">
        <w:rPr>
          <w:rFonts w:hint="eastAsia"/>
        </w:rPr>
        <w:t>。</w:t>
      </w:r>
      <w:r w:rsidR="00FE6286">
        <w:rPr>
          <w:rStyle w:val="FootnoteReference"/>
          <w:rFonts w:ascii="仿宋" w:hAnsi="仿宋"/>
          <w:szCs w:val="32"/>
        </w:rPr>
        <w:footnoteReference w:id="7"/>
      </w:r>
    </w:p>
    <w:p w:rsidR="008E2631" w:rsidRPr="00087EA9" w:rsidRDefault="008E2631" w:rsidP="005E19DD">
      <w:pPr>
        <w:pStyle w:val="Heading2"/>
      </w:pPr>
      <w:r w:rsidRPr="00087EA9">
        <w:rPr>
          <w:rFonts w:hint="eastAsia"/>
        </w:rPr>
        <w:t>（五</w:t>
      </w:r>
      <w:r w:rsidRPr="00087EA9">
        <w:t>）美国新泽西州</w:t>
      </w:r>
      <w:r w:rsidRPr="00087EA9">
        <w:rPr>
          <w:rFonts w:hint="eastAsia"/>
        </w:rPr>
        <w:t>能源适应力银行</w:t>
      </w:r>
    </w:p>
    <w:p w:rsidR="007945CE" w:rsidRDefault="003716F4" w:rsidP="002A10AD">
      <w:r w:rsidRPr="00087EA9">
        <w:t>美国新泽西州</w:t>
      </w:r>
      <w:r w:rsidRPr="00087EA9">
        <w:rPr>
          <w:rFonts w:hint="eastAsia"/>
        </w:rPr>
        <w:t>能源适应力银行</w:t>
      </w:r>
      <w:r w:rsidR="00CB2DC5" w:rsidRPr="00087EA9">
        <w:rPr>
          <w:rFonts w:hint="eastAsia"/>
        </w:rPr>
        <w:t>成立于</w:t>
      </w:r>
      <w:r w:rsidR="00CB2DC5" w:rsidRPr="00087EA9">
        <w:rPr>
          <w:rFonts w:hint="eastAsia"/>
        </w:rPr>
        <w:t>2014</w:t>
      </w:r>
      <w:r w:rsidR="00CB2DC5" w:rsidRPr="00087EA9">
        <w:rPr>
          <w:rFonts w:hint="eastAsia"/>
        </w:rPr>
        <w:t>年，</w:t>
      </w:r>
      <w:r w:rsidR="00CB2DC5" w:rsidRPr="00087EA9">
        <w:t>是</w:t>
      </w:r>
      <w:r w:rsidR="00CB2DC5" w:rsidRPr="00087EA9">
        <w:rPr>
          <w:rFonts w:hint="eastAsia"/>
        </w:rPr>
        <w:t>新泽西州</w:t>
      </w:r>
      <w:r w:rsidR="00CB2DC5" w:rsidRPr="00087EA9">
        <w:t>在</w:t>
      </w:r>
      <w:r w:rsidR="00CB2DC5" w:rsidRPr="00087EA9">
        <w:rPr>
          <w:rFonts w:hint="eastAsia"/>
        </w:rPr>
        <w:t>经历</w:t>
      </w:r>
      <w:r w:rsidR="00CB2DC5" w:rsidRPr="00087EA9">
        <w:t>飓风</w:t>
      </w:r>
      <w:r w:rsidR="00CB2DC5" w:rsidRPr="00087EA9">
        <w:rPr>
          <w:rFonts w:hint="eastAsia"/>
        </w:rPr>
        <w:t>桑迪（</w:t>
      </w:r>
      <w:r w:rsidR="007945CE" w:rsidRPr="007945CE">
        <w:t>Hurricane</w:t>
      </w:r>
      <w:r w:rsidR="00BF6F71">
        <w:t xml:space="preserve"> </w:t>
      </w:r>
      <w:r w:rsidR="00CB2DC5" w:rsidRPr="00087EA9">
        <w:rPr>
          <w:rFonts w:hint="eastAsia"/>
        </w:rPr>
        <w:t>S</w:t>
      </w:r>
      <w:r w:rsidR="00CB2DC5" w:rsidRPr="00087EA9">
        <w:t>andy</w:t>
      </w:r>
      <w:r w:rsidR="00CB2DC5" w:rsidRPr="00087EA9">
        <w:t>）</w:t>
      </w:r>
      <w:r w:rsidR="00CB2DC5" w:rsidRPr="00087EA9">
        <w:rPr>
          <w:rFonts w:hint="eastAsia"/>
        </w:rPr>
        <w:t>后</w:t>
      </w:r>
      <w:r w:rsidR="00CB2DC5" w:rsidRPr="00087EA9">
        <w:t>为减小未来</w:t>
      </w:r>
      <w:r w:rsidR="00CB2DC5" w:rsidRPr="00087EA9">
        <w:rPr>
          <w:rFonts w:hint="eastAsia"/>
        </w:rPr>
        <w:t>电力</w:t>
      </w:r>
      <w:r w:rsidR="00CB2DC5" w:rsidRPr="00087EA9">
        <w:t>故障</w:t>
      </w:r>
      <w:r w:rsidR="00CB2DC5" w:rsidRPr="00087EA9">
        <w:rPr>
          <w:rFonts w:hint="eastAsia"/>
        </w:rPr>
        <w:t>、提升</w:t>
      </w:r>
      <w:r w:rsidR="00CB2DC5" w:rsidRPr="00087EA9">
        <w:t>能源适应力而</w:t>
      </w:r>
      <w:r w:rsidR="007945CE">
        <w:rPr>
          <w:rFonts w:hint="eastAsia"/>
        </w:rPr>
        <w:t>设立</w:t>
      </w:r>
      <w:r w:rsidR="00C3205F">
        <w:rPr>
          <w:rFonts w:hint="eastAsia"/>
        </w:rPr>
        <w:t>的</w:t>
      </w:r>
      <w:r w:rsidR="00C3205F">
        <w:t>一家银行</w:t>
      </w:r>
      <w:r w:rsidR="00CB2DC5" w:rsidRPr="00087EA9">
        <w:t>。</w:t>
      </w:r>
      <w:r w:rsidR="00CB2DC5" w:rsidRPr="00087EA9">
        <w:rPr>
          <w:rFonts w:hint="eastAsia"/>
        </w:rPr>
        <w:t>该</w:t>
      </w:r>
      <w:r w:rsidR="00CB2DC5" w:rsidRPr="00087EA9">
        <w:t>银行由新泽西州</w:t>
      </w:r>
      <w:r w:rsidR="00CB2DC5" w:rsidRPr="00087EA9">
        <w:rPr>
          <w:rFonts w:hint="eastAsia"/>
        </w:rPr>
        <w:t>公用</w:t>
      </w:r>
      <w:r w:rsidR="00CB2DC5" w:rsidRPr="00087EA9">
        <w:t>事业局</w:t>
      </w:r>
      <w:r w:rsidR="00CB2DC5" w:rsidRPr="00087EA9">
        <w:rPr>
          <w:rFonts w:hint="eastAsia"/>
        </w:rPr>
        <w:lastRenderedPageBreak/>
        <w:t>（</w:t>
      </w:r>
      <w:r w:rsidR="00CB2DC5" w:rsidRPr="00087EA9">
        <w:rPr>
          <w:rFonts w:hint="eastAsia"/>
        </w:rPr>
        <w:t>State of N</w:t>
      </w:r>
      <w:r w:rsidR="00CB2DC5" w:rsidRPr="00087EA9">
        <w:t>ew Jersey Board of Public Utilities</w:t>
      </w:r>
      <w:r w:rsidR="00CB2DC5" w:rsidRPr="00087EA9">
        <w:t>）和</w:t>
      </w:r>
      <w:r w:rsidR="00CB2DC5" w:rsidRPr="00087EA9">
        <w:rPr>
          <w:rFonts w:hint="eastAsia"/>
        </w:rPr>
        <w:t>新泽西州</w:t>
      </w:r>
      <w:r w:rsidR="00CB2DC5" w:rsidRPr="00087EA9">
        <w:t>经济发展局</w:t>
      </w:r>
      <w:r w:rsidR="00CB2DC5" w:rsidRPr="00087EA9">
        <w:rPr>
          <w:rFonts w:hint="eastAsia"/>
        </w:rPr>
        <w:t>（</w:t>
      </w:r>
      <w:r w:rsidR="00CB2DC5" w:rsidRPr="00087EA9">
        <w:rPr>
          <w:rFonts w:hint="eastAsia"/>
        </w:rPr>
        <w:t>N</w:t>
      </w:r>
      <w:r w:rsidR="00CB2DC5" w:rsidRPr="00087EA9">
        <w:t xml:space="preserve">ew Jersey </w:t>
      </w:r>
      <w:r w:rsidR="00FE6286">
        <w:t>Economic Development Authority</w:t>
      </w:r>
      <w:r w:rsidR="00CB2DC5" w:rsidRPr="00087EA9">
        <w:rPr>
          <w:rFonts w:hint="eastAsia"/>
        </w:rPr>
        <w:t>）</w:t>
      </w:r>
      <w:r w:rsidR="00CB2DC5" w:rsidRPr="00087EA9">
        <w:t>共同管理。</w:t>
      </w:r>
    </w:p>
    <w:p w:rsidR="003716F4" w:rsidRPr="00087EA9" w:rsidRDefault="00CB2DC5" w:rsidP="002A10AD">
      <w:r w:rsidRPr="00087EA9">
        <w:rPr>
          <w:rFonts w:hint="eastAsia"/>
        </w:rPr>
        <w:t>美国</w:t>
      </w:r>
      <w:r w:rsidRPr="00087EA9">
        <w:t>住房和城市发展部（</w:t>
      </w:r>
      <w:r w:rsidRPr="00087EA9">
        <w:t>U.S. Department of Housing and Urban Development</w:t>
      </w:r>
      <w:r w:rsidRPr="00087EA9">
        <w:t>）</w:t>
      </w:r>
      <w:r w:rsidRPr="00087EA9">
        <w:rPr>
          <w:rFonts w:hint="eastAsia"/>
        </w:rPr>
        <w:t>通过</w:t>
      </w:r>
      <w:r w:rsidR="00661FA2" w:rsidRPr="00087EA9">
        <w:rPr>
          <w:rFonts w:hint="eastAsia"/>
        </w:rPr>
        <w:t>社区</w:t>
      </w:r>
      <w:r w:rsidR="00661FA2" w:rsidRPr="00087EA9">
        <w:t>发展固定拨款</w:t>
      </w:r>
      <w:r w:rsidR="00661FA2" w:rsidRPr="00087EA9">
        <w:rPr>
          <w:rFonts w:hint="eastAsia"/>
        </w:rPr>
        <w:t>之</w:t>
      </w:r>
      <w:r w:rsidR="00661FA2" w:rsidRPr="00087EA9">
        <w:t>灾后重建</w:t>
      </w:r>
      <w:r w:rsidR="00C3205F">
        <w:rPr>
          <w:rFonts w:hint="eastAsia"/>
        </w:rPr>
        <w:t>项目</w:t>
      </w:r>
      <w:r w:rsidR="00B81136" w:rsidRPr="00087EA9">
        <w:rPr>
          <w:rFonts w:hint="eastAsia"/>
        </w:rPr>
        <w:t>（</w:t>
      </w:r>
      <w:r w:rsidR="00B81136" w:rsidRPr="00087EA9">
        <w:t>Community Development Block Grant-Disaster Recover</w:t>
      </w:r>
      <w:r w:rsidR="00B81136" w:rsidRPr="00087EA9">
        <w:rPr>
          <w:rFonts w:hint="eastAsia"/>
        </w:rPr>
        <w:t>）</w:t>
      </w:r>
      <w:r w:rsidR="00661FA2" w:rsidRPr="00087EA9">
        <w:t>给予美国新泽西州</w:t>
      </w:r>
      <w:r w:rsidR="00661FA2" w:rsidRPr="00087EA9">
        <w:rPr>
          <w:rFonts w:hint="eastAsia"/>
        </w:rPr>
        <w:t>能源适应力银行</w:t>
      </w:r>
      <w:r w:rsidR="00661FA2" w:rsidRPr="00087EA9">
        <w:rPr>
          <w:rFonts w:hint="eastAsia"/>
        </w:rPr>
        <w:t>12.4</w:t>
      </w:r>
      <w:r w:rsidR="00661FA2" w:rsidRPr="00087EA9">
        <w:rPr>
          <w:rFonts w:hint="eastAsia"/>
        </w:rPr>
        <w:t>亿</w:t>
      </w:r>
      <w:r w:rsidR="00661FA2" w:rsidRPr="00087EA9">
        <w:t>人民币</w:t>
      </w:r>
      <w:r w:rsidR="00661FA2" w:rsidRPr="00087EA9">
        <w:rPr>
          <w:rFonts w:hint="eastAsia"/>
        </w:rPr>
        <w:t>（</w:t>
      </w:r>
      <w:r w:rsidR="00661FA2" w:rsidRPr="00087EA9">
        <w:rPr>
          <w:rFonts w:hint="eastAsia"/>
        </w:rPr>
        <w:t>2</w:t>
      </w:r>
      <w:r w:rsidR="00661FA2" w:rsidRPr="00087EA9">
        <w:rPr>
          <w:rFonts w:hint="eastAsia"/>
        </w:rPr>
        <w:t>亿</w:t>
      </w:r>
      <w:r w:rsidR="00661FA2" w:rsidRPr="00087EA9">
        <w:t>美元）</w:t>
      </w:r>
      <w:r w:rsidR="00661FA2" w:rsidRPr="00087EA9">
        <w:rPr>
          <w:rFonts w:hint="eastAsia"/>
        </w:rPr>
        <w:t>拨款</w:t>
      </w:r>
      <w:r w:rsidR="00661FA2" w:rsidRPr="00087EA9">
        <w:t>。</w:t>
      </w:r>
      <w:r w:rsidR="00FE6286">
        <w:rPr>
          <w:rStyle w:val="FootnoteReference"/>
          <w:rFonts w:ascii="仿宋" w:hAnsi="仿宋"/>
          <w:szCs w:val="32"/>
        </w:rPr>
        <w:footnoteReference w:id="8"/>
      </w:r>
    </w:p>
    <w:p w:rsidR="00641AE3" w:rsidRPr="00087EA9" w:rsidRDefault="00DE081F">
      <w:pPr>
        <w:rPr>
          <w:rFonts w:ascii="仿宋" w:hAnsi="仿宋"/>
          <w:szCs w:val="32"/>
        </w:rPr>
      </w:pPr>
      <w:r w:rsidRPr="00087EA9">
        <w:rPr>
          <w:rFonts w:ascii="仿宋" w:hAnsi="仿宋" w:hint="eastAsia"/>
          <w:szCs w:val="32"/>
        </w:rPr>
        <w:t>下表</w:t>
      </w:r>
      <w:r w:rsidR="005741C9" w:rsidRPr="00087EA9">
        <w:rPr>
          <w:rFonts w:ascii="仿宋" w:hAnsi="仿宋" w:hint="eastAsia"/>
          <w:szCs w:val="32"/>
        </w:rPr>
        <w:t>总结</w:t>
      </w:r>
      <w:r w:rsidR="005741C9" w:rsidRPr="00087EA9">
        <w:rPr>
          <w:rFonts w:ascii="仿宋" w:hAnsi="仿宋"/>
          <w:szCs w:val="32"/>
        </w:rPr>
        <w:t>了</w:t>
      </w:r>
      <w:r w:rsidR="005741C9" w:rsidRPr="00087EA9">
        <w:rPr>
          <w:rFonts w:ascii="仿宋" w:hAnsi="仿宋" w:hint="eastAsia"/>
          <w:szCs w:val="32"/>
        </w:rPr>
        <w:t>这五家</w:t>
      </w:r>
      <w:r w:rsidR="005741C9" w:rsidRPr="00087EA9">
        <w:rPr>
          <w:rFonts w:ascii="仿宋" w:hAnsi="仿宋"/>
          <w:szCs w:val="32"/>
        </w:rPr>
        <w:t>银行的</w:t>
      </w:r>
      <w:r w:rsidR="005741C9" w:rsidRPr="00087EA9">
        <w:rPr>
          <w:rFonts w:ascii="仿宋" w:hAnsi="仿宋" w:hint="eastAsia"/>
          <w:szCs w:val="32"/>
        </w:rPr>
        <w:t>类别</w:t>
      </w:r>
      <w:r w:rsidR="005741C9" w:rsidRPr="00087EA9">
        <w:rPr>
          <w:rFonts w:ascii="仿宋" w:hAnsi="仿宋"/>
          <w:szCs w:val="32"/>
        </w:rPr>
        <w:t>、资金规模和资金来源。</w:t>
      </w:r>
    </w:p>
    <w:tbl>
      <w:tblPr>
        <w:tblStyle w:val="TableGrid"/>
        <w:tblW w:w="9384" w:type="dxa"/>
        <w:jc w:val="center"/>
        <w:tblLook w:val="04A0" w:firstRow="1" w:lastRow="0" w:firstColumn="1" w:lastColumn="0" w:noHBand="0" w:noVBand="1"/>
      </w:tblPr>
      <w:tblGrid>
        <w:gridCol w:w="536"/>
        <w:gridCol w:w="3135"/>
        <w:gridCol w:w="1002"/>
        <w:gridCol w:w="1561"/>
        <w:gridCol w:w="16"/>
        <w:gridCol w:w="1496"/>
        <w:gridCol w:w="1623"/>
        <w:gridCol w:w="15"/>
      </w:tblGrid>
      <w:tr w:rsidR="00974FB8" w:rsidRPr="002A10AD" w:rsidTr="00CF114F">
        <w:trPr>
          <w:gridAfter w:val="1"/>
          <w:wAfter w:w="15" w:type="dxa"/>
          <w:jc w:val="center"/>
        </w:trPr>
        <w:tc>
          <w:tcPr>
            <w:tcW w:w="3671" w:type="dxa"/>
            <w:gridSpan w:val="2"/>
            <w:vMerge w:val="restart"/>
            <w:vAlign w:val="center"/>
          </w:tcPr>
          <w:p w:rsidR="00974FB8" w:rsidRPr="002A10AD" w:rsidRDefault="00974FB8" w:rsidP="00527A5A">
            <w:pPr>
              <w:spacing w:line="240" w:lineRule="auto"/>
              <w:ind w:firstLine="0"/>
              <w:jc w:val="center"/>
              <w:rPr>
                <w:szCs w:val="32"/>
              </w:rPr>
            </w:pPr>
            <w:r w:rsidRPr="002A10AD">
              <w:rPr>
                <w:rFonts w:hint="eastAsia"/>
                <w:szCs w:val="32"/>
              </w:rPr>
              <w:t>类别</w:t>
            </w:r>
          </w:p>
        </w:tc>
        <w:tc>
          <w:tcPr>
            <w:tcW w:w="1002" w:type="dxa"/>
            <w:vMerge w:val="restart"/>
            <w:vAlign w:val="center"/>
          </w:tcPr>
          <w:p w:rsidR="00974FB8" w:rsidRPr="002A10AD" w:rsidRDefault="00974FB8" w:rsidP="00527A5A">
            <w:pPr>
              <w:spacing w:line="240" w:lineRule="auto"/>
              <w:ind w:firstLine="0"/>
              <w:jc w:val="center"/>
              <w:rPr>
                <w:szCs w:val="32"/>
              </w:rPr>
            </w:pPr>
            <w:r w:rsidRPr="002A10AD">
              <w:rPr>
                <w:rFonts w:hint="eastAsia"/>
                <w:szCs w:val="32"/>
              </w:rPr>
              <w:t>成立</w:t>
            </w:r>
            <w:r w:rsidRPr="002A10AD">
              <w:rPr>
                <w:szCs w:val="32"/>
              </w:rPr>
              <w:t>年份</w:t>
            </w:r>
          </w:p>
        </w:tc>
        <w:tc>
          <w:tcPr>
            <w:tcW w:w="3073" w:type="dxa"/>
            <w:gridSpan w:val="3"/>
            <w:vAlign w:val="center"/>
          </w:tcPr>
          <w:p w:rsidR="00974FB8" w:rsidRPr="002A10AD" w:rsidRDefault="00974FB8" w:rsidP="00527A5A">
            <w:pPr>
              <w:spacing w:line="240" w:lineRule="auto"/>
              <w:ind w:firstLine="0"/>
              <w:jc w:val="center"/>
              <w:rPr>
                <w:szCs w:val="32"/>
              </w:rPr>
            </w:pPr>
            <w:r w:rsidRPr="002A10AD">
              <w:rPr>
                <w:rFonts w:hint="eastAsia"/>
                <w:szCs w:val="32"/>
              </w:rPr>
              <w:t>资金</w:t>
            </w:r>
            <w:r w:rsidRPr="002A10AD">
              <w:rPr>
                <w:szCs w:val="32"/>
              </w:rPr>
              <w:t>规模</w:t>
            </w:r>
          </w:p>
        </w:tc>
        <w:tc>
          <w:tcPr>
            <w:tcW w:w="1623" w:type="dxa"/>
            <w:vMerge w:val="restart"/>
            <w:vAlign w:val="center"/>
          </w:tcPr>
          <w:p w:rsidR="00974FB8" w:rsidRPr="002A10AD" w:rsidRDefault="00974FB8" w:rsidP="00527A5A">
            <w:pPr>
              <w:spacing w:line="240" w:lineRule="auto"/>
              <w:ind w:firstLine="0"/>
              <w:jc w:val="center"/>
              <w:rPr>
                <w:szCs w:val="32"/>
              </w:rPr>
            </w:pPr>
            <w:r w:rsidRPr="002A10AD">
              <w:rPr>
                <w:rFonts w:hint="eastAsia"/>
                <w:szCs w:val="32"/>
              </w:rPr>
              <w:t>资金</w:t>
            </w:r>
            <w:r w:rsidRPr="002A10AD">
              <w:rPr>
                <w:szCs w:val="32"/>
              </w:rPr>
              <w:t>来源</w:t>
            </w:r>
          </w:p>
        </w:tc>
      </w:tr>
      <w:tr w:rsidR="00974FB8" w:rsidRPr="002A10AD" w:rsidTr="00CF114F">
        <w:trPr>
          <w:gridAfter w:val="1"/>
          <w:wAfter w:w="15" w:type="dxa"/>
          <w:jc w:val="center"/>
        </w:trPr>
        <w:tc>
          <w:tcPr>
            <w:tcW w:w="3671" w:type="dxa"/>
            <w:gridSpan w:val="2"/>
            <w:vMerge/>
            <w:vAlign w:val="center"/>
          </w:tcPr>
          <w:p w:rsidR="00974FB8" w:rsidRPr="002A10AD" w:rsidRDefault="00974FB8" w:rsidP="00527A5A">
            <w:pPr>
              <w:spacing w:line="240" w:lineRule="auto"/>
              <w:ind w:firstLine="0"/>
              <w:rPr>
                <w:szCs w:val="32"/>
              </w:rPr>
            </w:pPr>
          </w:p>
        </w:tc>
        <w:tc>
          <w:tcPr>
            <w:tcW w:w="1002" w:type="dxa"/>
            <w:vMerge/>
            <w:vAlign w:val="center"/>
          </w:tcPr>
          <w:p w:rsidR="00974FB8" w:rsidRPr="002A10AD" w:rsidRDefault="00974FB8" w:rsidP="00527A5A">
            <w:pPr>
              <w:spacing w:line="240" w:lineRule="auto"/>
              <w:ind w:firstLine="0"/>
              <w:jc w:val="center"/>
              <w:rPr>
                <w:szCs w:val="32"/>
              </w:rPr>
            </w:pPr>
          </w:p>
        </w:tc>
        <w:tc>
          <w:tcPr>
            <w:tcW w:w="1561" w:type="dxa"/>
            <w:vAlign w:val="center"/>
          </w:tcPr>
          <w:p w:rsidR="00974FB8" w:rsidRPr="002A10AD" w:rsidRDefault="00974FB8" w:rsidP="00527A5A">
            <w:pPr>
              <w:spacing w:line="240" w:lineRule="auto"/>
              <w:ind w:firstLine="0"/>
              <w:jc w:val="center"/>
              <w:rPr>
                <w:szCs w:val="32"/>
              </w:rPr>
            </w:pPr>
            <w:r w:rsidRPr="002A10AD">
              <w:rPr>
                <w:rFonts w:hint="eastAsia"/>
                <w:szCs w:val="32"/>
              </w:rPr>
              <w:t>人民币</w:t>
            </w:r>
          </w:p>
        </w:tc>
        <w:tc>
          <w:tcPr>
            <w:tcW w:w="1512" w:type="dxa"/>
            <w:gridSpan w:val="2"/>
          </w:tcPr>
          <w:p w:rsidR="00974FB8" w:rsidRPr="002A10AD" w:rsidRDefault="00974FB8" w:rsidP="00527A5A">
            <w:pPr>
              <w:spacing w:line="240" w:lineRule="auto"/>
              <w:ind w:firstLine="0"/>
              <w:jc w:val="center"/>
              <w:rPr>
                <w:szCs w:val="32"/>
              </w:rPr>
            </w:pPr>
            <w:r w:rsidRPr="002A10AD">
              <w:rPr>
                <w:rFonts w:hint="eastAsia"/>
                <w:szCs w:val="32"/>
              </w:rPr>
              <w:t>外币</w:t>
            </w:r>
          </w:p>
        </w:tc>
        <w:tc>
          <w:tcPr>
            <w:tcW w:w="1623" w:type="dxa"/>
            <w:vMerge/>
            <w:vAlign w:val="center"/>
          </w:tcPr>
          <w:p w:rsidR="00974FB8" w:rsidRPr="002A10AD" w:rsidRDefault="00974FB8" w:rsidP="00527A5A">
            <w:pPr>
              <w:spacing w:line="240" w:lineRule="auto"/>
              <w:ind w:firstLine="0"/>
              <w:jc w:val="center"/>
              <w:rPr>
                <w:szCs w:val="32"/>
              </w:rPr>
            </w:pPr>
          </w:p>
        </w:tc>
      </w:tr>
      <w:tr w:rsidR="00974FB8" w:rsidRPr="002A10AD" w:rsidTr="00CF114F">
        <w:trPr>
          <w:jc w:val="center"/>
        </w:trPr>
        <w:tc>
          <w:tcPr>
            <w:tcW w:w="536" w:type="dxa"/>
            <w:vMerge w:val="restart"/>
            <w:vAlign w:val="center"/>
          </w:tcPr>
          <w:p w:rsidR="00974FB8" w:rsidRPr="002A10AD" w:rsidRDefault="00974FB8" w:rsidP="00527A5A">
            <w:pPr>
              <w:spacing w:line="240" w:lineRule="auto"/>
              <w:ind w:firstLine="0"/>
              <w:jc w:val="center"/>
              <w:rPr>
                <w:szCs w:val="32"/>
              </w:rPr>
            </w:pPr>
            <w:r w:rsidRPr="002A10AD">
              <w:rPr>
                <w:rFonts w:hint="eastAsia"/>
                <w:szCs w:val="32"/>
              </w:rPr>
              <w:t>国家级</w:t>
            </w:r>
          </w:p>
        </w:tc>
        <w:tc>
          <w:tcPr>
            <w:tcW w:w="3135" w:type="dxa"/>
            <w:vAlign w:val="center"/>
          </w:tcPr>
          <w:p w:rsidR="00974FB8" w:rsidRPr="002A10AD" w:rsidRDefault="00974FB8" w:rsidP="00527A5A">
            <w:pPr>
              <w:spacing w:line="240" w:lineRule="auto"/>
              <w:ind w:firstLine="0"/>
              <w:rPr>
                <w:szCs w:val="32"/>
              </w:rPr>
            </w:pPr>
            <w:r w:rsidRPr="002A10AD">
              <w:rPr>
                <w:rFonts w:hint="eastAsia"/>
                <w:szCs w:val="32"/>
              </w:rPr>
              <w:t>英国</w:t>
            </w:r>
            <w:r w:rsidRPr="002A10AD">
              <w:rPr>
                <w:szCs w:val="32"/>
              </w:rPr>
              <w:t>绿色投资银行</w:t>
            </w:r>
          </w:p>
        </w:tc>
        <w:tc>
          <w:tcPr>
            <w:tcW w:w="1002" w:type="dxa"/>
            <w:vAlign w:val="center"/>
          </w:tcPr>
          <w:p w:rsidR="00974FB8" w:rsidRPr="002A10AD" w:rsidRDefault="00974FB8" w:rsidP="00527A5A">
            <w:pPr>
              <w:spacing w:line="240" w:lineRule="auto"/>
              <w:ind w:firstLine="0"/>
              <w:jc w:val="center"/>
              <w:rPr>
                <w:szCs w:val="32"/>
              </w:rPr>
            </w:pPr>
            <w:r w:rsidRPr="002A10AD">
              <w:rPr>
                <w:szCs w:val="32"/>
              </w:rPr>
              <w:t>2012</w:t>
            </w:r>
          </w:p>
        </w:tc>
        <w:tc>
          <w:tcPr>
            <w:tcW w:w="1577" w:type="dxa"/>
            <w:gridSpan w:val="2"/>
            <w:vAlign w:val="center"/>
          </w:tcPr>
          <w:p w:rsidR="00974FB8" w:rsidRPr="002A10AD" w:rsidRDefault="00FF0027" w:rsidP="00527A5A">
            <w:pPr>
              <w:spacing w:line="240" w:lineRule="auto"/>
              <w:ind w:firstLine="0"/>
              <w:jc w:val="right"/>
              <w:rPr>
                <w:szCs w:val="32"/>
              </w:rPr>
            </w:pPr>
            <w:r w:rsidRPr="002A10AD">
              <w:rPr>
                <w:rFonts w:hint="eastAsia"/>
                <w:szCs w:val="32"/>
              </w:rPr>
              <w:t>358</w:t>
            </w:r>
            <w:r w:rsidR="00974FB8" w:rsidRPr="002A10AD">
              <w:rPr>
                <w:rFonts w:hint="eastAsia"/>
                <w:szCs w:val="32"/>
              </w:rPr>
              <w:t>亿</w:t>
            </w:r>
            <w:r w:rsidR="00974FB8" w:rsidRPr="002A10AD">
              <w:rPr>
                <w:szCs w:val="32"/>
              </w:rPr>
              <w:t>元</w:t>
            </w:r>
          </w:p>
        </w:tc>
        <w:tc>
          <w:tcPr>
            <w:tcW w:w="1496" w:type="dxa"/>
            <w:vAlign w:val="center"/>
          </w:tcPr>
          <w:p w:rsidR="00974FB8" w:rsidRPr="002A10AD" w:rsidRDefault="00FF0027" w:rsidP="00527A5A">
            <w:pPr>
              <w:spacing w:line="240" w:lineRule="auto"/>
              <w:ind w:firstLine="0"/>
              <w:jc w:val="center"/>
              <w:rPr>
                <w:szCs w:val="32"/>
              </w:rPr>
            </w:pPr>
            <w:r w:rsidRPr="002A10AD">
              <w:rPr>
                <w:rFonts w:hint="eastAsia"/>
                <w:szCs w:val="32"/>
              </w:rPr>
              <w:t>38</w:t>
            </w:r>
            <w:r w:rsidR="00974FB8" w:rsidRPr="002A10AD">
              <w:rPr>
                <w:rFonts w:hint="eastAsia"/>
                <w:szCs w:val="32"/>
              </w:rPr>
              <w:t>亿</w:t>
            </w:r>
          </w:p>
          <w:p w:rsidR="00974FB8" w:rsidRPr="002A10AD" w:rsidRDefault="00974FB8" w:rsidP="00527A5A">
            <w:pPr>
              <w:spacing w:line="240" w:lineRule="auto"/>
              <w:ind w:firstLine="0"/>
              <w:jc w:val="center"/>
              <w:rPr>
                <w:szCs w:val="32"/>
              </w:rPr>
            </w:pPr>
            <w:r w:rsidRPr="002A10AD">
              <w:rPr>
                <w:szCs w:val="32"/>
              </w:rPr>
              <w:t>英镑</w:t>
            </w:r>
          </w:p>
        </w:tc>
        <w:tc>
          <w:tcPr>
            <w:tcW w:w="1638" w:type="dxa"/>
            <w:gridSpan w:val="2"/>
            <w:vAlign w:val="center"/>
          </w:tcPr>
          <w:p w:rsidR="00974FB8" w:rsidRPr="002A10AD" w:rsidRDefault="00974FB8" w:rsidP="00527A5A">
            <w:pPr>
              <w:spacing w:line="240" w:lineRule="auto"/>
              <w:ind w:firstLine="0"/>
              <w:jc w:val="center"/>
              <w:rPr>
                <w:szCs w:val="32"/>
              </w:rPr>
            </w:pPr>
            <w:r w:rsidRPr="002A10AD">
              <w:rPr>
                <w:rFonts w:hint="eastAsia"/>
                <w:szCs w:val="32"/>
              </w:rPr>
              <w:t>财政</w:t>
            </w:r>
            <w:r w:rsidRPr="002A10AD">
              <w:rPr>
                <w:szCs w:val="32"/>
              </w:rPr>
              <w:t>出资</w:t>
            </w:r>
          </w:p>
        </w:tc>
      </w:tr>
      <w:tr w:rsidR="00974FB8" w:rsidRPr="002A10AD" w:rsidTr="00CF114F">
        <w:trPr>
          <w:jc w:val="center"/>
        </w:trPr>
        <w:tc>
          <w:tcPr>
            <w:tcW w:w="536" w:type="dxa"/>
            <w:vMerge/>
            <w:vAlign w:val="center"/>
          </w:tcPr>
          <w:p w:rsidR="00974FB8" w:rsidRPr="002A10AD" w:rsidRDefault="00974FB8" w:rsidP="00527A5A">
            <w:pPr>
              <w:spacing w:line="240" w:lineRule="auto"/>
              <w:ind w:firstLine="0"/>
              <w:jc w:val="center"/>
              <w:rPr>
                <w:szCs w:val="32"/>
              </w:rPr>
            </w:pPr>
          </w:p>
        </w:tc>
        <w:tc>
          <w:tcPr>
            <w:tcW w:w="3135" w:type="dxa"/>
            <w:vAlign w:val="center"/>
          </w:tcPr>
          <w:p w:rsidR="00974FB8" w:rsidRPr="002A10AD" w:rsidRDefault="00974FB8" w:rsidP="00527A5A">
            <w:pPr>
              <w:spacing w:line="240" w:lineRule="auto"/>
              <w:ind w:firstLine="0"/>
              <w:rPr>
                <w:szCs w:val="32"/>
              </w:rPr>
            </w:pPr>
            <w:r w:rsidRPr="002A10AD">
              <w:rPr>
                <w:rFonts w:hint="eastAsia"/>
                <w:szCs w:val="32"/>
              </w:rPr>
              <w:t>澳大利亚</w:t>
            </w:r>
            <w:r w:rsidRPr="002A10AD">
              <w:rPr>
                <w:szCs w:val="32"/>
              </w:rPr>
              <w:t>清洁能源金融公司</w:t>
            </w:r>
          </w:p>
        </w:tc>
        <w:tc>
          <w:tcPr>
            <w:tcW w:w="1002" w:type="dxa"/>
            <w:vAlign w:val="center"/>
          </w:tcPr>
          <w:p w:rsidR="00974FB8" w:rsidRPr="002A10AD" w:rsidRDefault="00974FB8" w:rsidP="00527A5A">
            <w:pPr>
              <w:spacing w:line="240" w:lineRule="auto"/>
              <w:ind w:firstLine="0"/>
              <w:jc w:val="center"/>
              <w:rPr>
                <w:szCs w:val="32"/>
              </w:rPr>
            </w:pPr>
            <w:r w:rsidRPr="002A10AD">
              <w:rPr>
                <w:szCs w:val="32"/>
              </w:rPr>
              <w:t>2013</w:t>
            </w:r>
          </w:p>
        </w:tc>
        <w:tc>
          <w:tcPr>
            <w:tcW w:w="1577" w:type="dxa"/>
            <w:gridSpan w:val="2"/>
            <w:vAlign w:val="center"/>
          </w:tcPr>
          <w:p w:rsidR="00974FB8" w:rsidRPr="002A10AD" w:rsidRDefault="00974FB8" w:rsidP="00527A5A">
            <w:pPr>
              <w:spacing w:line="240" w:lineRule="auto"/>
              <w:ind w:firstLine="0"/>
              <w:jc w:val="right"/>
              <w:rPr>
                <w:szCs w:val="32"/>
              </w:rPr>
            </w:pPr>
            <w:r w:rsidRPr="002A10AD">
              <w:rPr>
                <w:rFonts w:hint="eastAsia"/>
                <w:szCs w:val="32"/>
              </w:rPr>
              <w:t>510</w:t>
            </w:r>
            <w:r w:rsidRPr="002A10AD">
              <w:rPr>
                <w:rFonts w:hint="eastAsia"/>
                <w:szCs w:val="32"/>
              </w:rPr>
              <w:t>亿</w:t>
            </w:r>
            <w:r w:rsidRPr="002A10AD">
              <w:rPr>
                <w:szCs w:val="32"/>
              </w:rPr>
              <w:t>元</w:t>
            </w:r>
          </w:p>
        </w:tc>
        <w:tc>
          <w:tcPr>
            <w:tcW w:w="1496" w:type="dxa"/>
            <w:vAlign w:val="center"/>
          </w:tcPr>
          <w:p w:rsidR="00974FB8" w:rsidRPr="002A10AD" w:rsidRDefault="00974FB8" w:rsidP="00527A5A">
            <w:pPr>
              <w:spacing w:line="240" w:lineRule="auto"/>
              <w:ind w:firstLine="0"/>
              <w:jc w:val="center"/>
              <w:rPr>
                <w:szCs w:val="32"/>
              </w:rPr>
            </w:pPr>
            <w:r w:rsidRPr="002A10AD">
              <w:rPr>
                <w:rFonts w:hint="eastAsia"/>
                <w:szCs w:val="32"/>
              </w:rPr>
              <w:t>10</w:t>
            </w:r>
            <w:r w:rsidRPr="002A10AD">
              <w:rPr>
                <w:szCs w:val="32"/>
              </w:rPr>
              <w:t>0</w:t>
            </w:r>
            <w:r w:rsidRPr="002A10AD">
              <w:rPr>
                <w:rFonts w:hint="eastAsia"/>
                <w:szCs w:val="32"/>
              </w:rPr>
              <w:t>亿</w:t>
            </w:r>
          </w:p>
          <w:p w:rsidR="00974FB8" w:rsidRPr="002A10AD" w:rsidRDefault="00974FB8" w:rsidP="00527A5A">
            <w:pPr>
              <w:spacing w:line="240" w:lineRule="auto"/>
              <w:ind w:firstLine="0"/>
              <w:jc w:val="center"/>
              <w:rPr>
                <w:szCs w:val="32"/>
              </w:rPr>
            </w:pPr>
            <w:r w:rsidRPr="002A10AD">
              <w:rPr>
                <w:szCs w:val="32"/>
              </w:rPr>
              <w:t>澳元</w:t>
            </w:r>
          </w:p>
        </w:tc>
        <w:tc>
          <w:tcPr>
            <w:tcW w:w="1638" w:type="dxa"/>
            <w:gridSpan w:val="2"/>
            <w:vAlign w:val="center"/>
          </w:tcPr>
          <w:p w:rsidR="00974FB8" w:rsidRPr="002A10AD" w:rsidRDefault="00974FB8" w:rsidP="00527A5A">
            <w:pPr>
              <w:spacing w:line="240" w:lineRule="auto"/>
              <w:ind w:firstLine="0"/>
              <w:jc w:val="center"/>
              <w:rPr>
                <w:szCs w:val="32"/>
              </w:rPr>
            </w:pPr>
            <w:r w:rsidRPr="002A10AD">
              <w:rPr>
                <w:rFonts w:hint="eastAsia"/>
                <w:szCs w:val="32"/>
              </w:rPr>
              <w:t>财政</w:t>
            </w:r>
            <w:r w:rsidRPr="002A10AD">
              <w:rPr>
                <w:szCs w:val="32"/>
              </w:rPr>
              <w:t>出资</w:t>
            </w:r>
          </w:p>
        </w:tc>
      </w:tr>
      <w:tr w:rsidR="00974FB8" w:rsidRPr="002A10AD" w:rsidTr="00CF114F">
        <w:trPr>
          <w:jc w:val="center"/>
        </w:trPr>
        <w:tc>
          <w:tcPr>
            <w:tcW w:w="536" w:type="dxa"/>
            <w:vMerge w:val="restart"/>
            <w:vAlign w:val="center"/>
          </w:tcPr>
          <w:p w:rsidR="00974FB8" w:rsidRPr="002A10AD" w:rsidRDefault="00974FB8" w:rsidP="00527A5A">
            <w:pPr>
              <w:spacing w:line="240" w:lineRule="auto"/>
              <w:ind w:firstLine="0"/>
              <w:jc w:val="center"/>
              <w:rPr>
                <w:szCs w:val="32"/>
              </w:rPr>
            </w:pPr>
            <w:r w:rsidRPr="002A10AD">
              <w:rPr>
                <w:rFonts w:hint="eastAsia"/>
                <w:szCs w:val="32"/>
              </w:rPr>
              <w:t>省级</w:t>
            </w:r>
          </w:p>
        </w:tc>
        <w:tc>
          <w:tcPr>
            <w:tcW w:w="3135" w:type="dxa"/>
            <w:vAlign w:val="center"/>
          </w:tcPr>
          <w:p w:rsidR="00974FB8" w:rsidRPr="002A10AD" w:rsidRDefault="00974FB8" w:rsidP="00527A5A">
            <w:pPr>
              <w:spacing w:line="240" w:lineRule="auto"/>
              <w:ind w:firstLine="0"/>
              <w:rPr>
                <w:szCs w:val="32"/>
              </w:rPr>
            </w:pPr>
            <w:r w:rsidRPr="002A10AD">
              <w:rPr>
                <w:rFonts w:hint="eastAsia"/>
                <w:szCs w:val="32"/>
              </w:rPr>
              <w:t>美国</w:t>
            </w:r>
            <w:r w:rsidRPr="002A10AD">
              <w:rPr>
                <w:szCs w:val="32"/>
              </w:rPr>
              <w:t>纽约州绿色银行</w:t>
            </w:r>
          </w:p>
        </w:tc>
        <w:tc>
          <w:tcPr>
            <w:tcW w:w="1002" w:type="dxa"/>
            <w:vAlign w:val="center"/>
          </w:tcPr>
          <w:p w:rsidR="00974FB8" w:rsidRPr="002A10AD" w:rsidRDefault="00974FB8" w:rsidP="00527A5A">
            <w:pPr>
              <w:spacing w:line="240" w:lineRule="auto"/>
              <w:ind w:firstLine="0"/>
              <w:jc w:val="center"/>
              <w:rPr>
                <w:szCs w:val="32"/>
              </w:rPr>
            </w:pPr>
            <w:r w:rsidRPr="002A10AD">
              <w:rPr>
                <w:szCs w:val="32"/>
              </w:rPr>
              <w:t>2013</w:t>
            </w:r>
          </w:p>
        </w:tc>
        <w:tc>
          <w:tcPr>
            <w:tcW w:w="1577" w:type="dxa"/>
            <w:gridSpan w:val="2"/>
            <w:vAlign w:val="center"/>
          </w:tcPr>
          <w:p w:rsidR="00974FB8" w:rsidRPr="002A10AD" w:rsidRDefault="00974FB8" w:rsidP="00527A5A">
            <w:pPr>
              <w:spacing w:line="240" w:lineRule="auto"/>
              <w:ind w:firstLine="0"/>
              <w:jc w:val="right"/>
              <w:rPr>
                <w:szCs w:val="32"/>
              </w:rPr>
            </w:pPr>
            <w:r w:rsidRPr="002A10AD">
              <w:rPr>
                <w:rFonts w:hint="eastAsia"/>
                <w:szCs w:val="32"/>
              </w:rPr>
              <w:t>62</w:t>
            </w:r>
            <w:r w:rsidRPr="002A10AD">
              <w:rPr>
                <w:rFonts w:hint="eastAsia"/>
                <w:szCs w:val="32"/>
              </w:rPr>
              <w:t>亿</w:t>
            </w:r>
            <w:r w:rsidRPr="002A10AD">
              <w:rPr>
                <w:szCs w:val="32"/>
              </w:rPr>
              <w:t>元</w:t>
            </w:r>
          </w:p>
        </w:tc>
        <w:tc>
          <w:tcPr>
            <w:tcW w:w="1496" w:type="dxa"/>
            <w:vAlign w:val="center"/>
          </w:tcPr>
          <w:p w:rsidR="00974FB8" w:rsidRPr="002A10AD" w:rsidRDefault="00974FB8" w:rsidP="00527A5A">
            <w:pPr>
              <w:spacing w:line="240" w:lineRule="auto"/>
              <w:ind w:firstLine="0"/>
              <w:jc w:val="center"/>
              <w:rPr>
                <w:szCs w:val="32"/>
              </w:rPr>
            </w:pPr>
            <w:r w:rsidRPr="002A10AD">
              <w:rPr>
                <w:rFonts w:hint="eastAsia"/>
                <w:szCs w:val="32"/>
              </w:rPr>
              <w:t>10</w:t>
            </w:r>
            <w:r w:rsidRPr="002A10AD">
              <w:rPr>
                <w:rFonts w:hint="eastAsia"/>
                <w:szCs w:val="32"/>
              </w:rPr>
              <w:t>亿</w:t>
            </w:r>
          </w:p>
          <w:p w:rsidR="00974FB8" w:rsidRPr="002A10AD" w:rsidRDefault="00974FB8" w:rsidP="00527A5A">
            <w:pPr>
              <w:spacing w:line="240" w:lineRule="auto"/>
              <w:ind w:firstLine="0"/>
              <w:jc w:val="center"/>
              <w:rPr>
                <w:szCs w:val="32"/>
              </w:rPr>
            </w:pPr>
            <w:r w:rsidRPr="002A10AD">
              <w:rPr>
                <w:szCs w:val="32"/>
              </w:rPr>
              <w:t>美元</w:t>
            </w:r>
          </w:p>
        </w:tc>
        <w:tc>
          <w:tcPr>
            <w:tcW w:w="1638" w:type="dxa"/>
            <w:gridSpan w:val="2"/>
            <w:vAlign w:val="center"/>
          </w:tcPr>
          <w:p w:rsidR="00974FB8" w:rsidRPr="002A10AD" w:rsidRDefault="00974FB8" w:rsidP="00527A5A">
            <w:pPr>
              <w:spacing w:line="240" w:lineRule="auto"/>
              <w:ind w:firstLine="0"/>
              <w:jc w:val="center"/>
              <w:rPr>
                <w:szCs w:val="32"/>
              </w:rPr>
            </w:pPr>
            <w:r w:rsidRPr="002A10AD">
              <w:rPr>
                <w:rFonts w:hint="eastAsia"/>
                <w:szCs w:val="32"/>
              </w:rPr>
              <w:t>地方其他</w:t>
            </w:r>
            <w:r w:rsidRPr="002A10AD">
              <w:rPr>
                <w:szCs w:val="32"/>
              </w:rPr>
              <w:t>项目</w:t>
            </w:r>
          </w:p>
        </w:tc>
      </w:tr>
      <w:tr w:rsidR="00974FB8" w:rsidRPr="002A10AD" w:rsidTr="00CF114F">
        <w:trPr>
          <w:jc w:val="center"/>
        </w:trPr>
        <w:tc>
          <w:tcPr>
            <w:tcW w:w="536" w:type="dxa"/>
            <w:vMerge/>
            <w:vAlign w:val="center"/>
          </w:tcPr>
          <w:p w:rsidR="00974FB8" w:rsidRPr="002A10AD" w:rsidRDefault="00974FB8" w:rsidP="00527A5A">
            <w:pPr>
              <w:spacing w:line="240" w:lineRule="auto"/>
              <w:ind w:firstLine="0"/>
              <w:rPr>
                <w:szCs w:val="32"/>
              </w:rPr>
            </w:pPr>
          </w:p>
        </w:tc>
        <w:tc>
          <w:tcPr>
            <w:tcW w:w="3135" w:type="dxa"/>
            <w:vAlign w:val="center"/>
          </w:tcPr>
          <w:p w:rsidR="00974FB8" w:rsidRPr="002A10AD" w:rsidRDefault="00974FB8" w:rsidP="00527A5A">
            <w:pPr>
              <w:spacing w:line="240" w:lineRule="auto"/>
              <w:ind w:firstLine="0"/>
              <w:rPr>
                <w:szCs w:val="32"/>
              </w:rPr>
            </w:pPr>
            <w:r w:rsidRPr="002A10AD">
              <w:rPr>
                <w:rFonts w:hint="eastAsia"/>
                <w:szCs w:val="32"/>
              </w:rPr>
              <w:t>美国康涅狄格州绿色</w:t>
            </w:r>
            <w:r w:rsidRPr="002A10AD">
              <w:rPr>
                <w:szCs w:val="32"/>
              </w:rPr>
              <w:t>银行</w:t>
            </w:r>
          </w:p>
        </w:tc>
        <w:tc>
          <w:tcPr>
            <w:tcW w:w="1002" w:type="dxa"/>
            <w:vAlign w:val="center"/>
          </w:tcPr>
          <w:p w:rsidR="00974FB8" w:rsidRPr="002A10AD" w:rsidRDefault="00974FB8" w:rsidP="00527A5A">
            <w:pPr>
              <w:spacing w:line="240" w:lineRule="auto"/>
              <w:ind w:firstLine="0"/>
              <w:jc w:val="center"/>
              <w:rPr>
                <w:szCs w:val="32"/>
              </w:rPr>
            </w:pPr>
            <w:r w:rsidRPr="002A10AD">
              <w:rPr>
                <w:szCs w:val="32"/>
              </w:rPr>
              <w:t>2011</w:t>
            </w:r>
          </w:p>
        </w:tc>
        <w:tc>
          <w:tcPr>
            <w:tcW w:w="1577" w:type="dxa"/>
            <w:gridSpan w:val="2"/>
            <w:vAlign w:val="center"/>
          </w:tcPr>
          <w:p w:rsidR="00974FB8" w:rsidRPr="002A10AD" w:rsidRDefault="00974FB8" w:rsidP="00527A5A">
            <w:pPr>
              <w:spacing w:line="240" w:lineRule="auto"/>
              <w:ind w:firstLine="0"/>
              <w:jc w:val="right"/>
              <w:rPr>
                <w:szCs w:val="32"/>
              </w:rPr>
            </w:pPr>
            <w:r w:rsidRPr="002A10AD">
              <w:rPr>
                <w:rFonts w:hint="eastAsia"/>
                <w:szCs w:val="32"/>
              </w:rPr>
              <w:t>4.</w:t>
            </w:r>
            <w:r w:rsidRPr="002A10AD">
              <w:rPr>
                <w:szCs w:val="32"/>
              </w:rPr>
              <w:t>9</w:t>
            </w:r>
            <w:r w:rsidRPr="002A10AD">
              <w:rPr>
                <w:rFonts w:hint="eastAsia"/>
                <w:szCs w:val="32"/>
              </w:rPr>
              <w:t>亿</w:t>
            </w:r>
            <w:r w:rsidRPr="002A10AD">
              <w:rPr>
                <w:szCs w:val="32"/>
              </w:rPr>
              <w:t>元</w:t>
            </w:r>
          </w:p>
        </w:tc>
        <w:tc>
          <w:tcPr>
            <w:tcW w:w="1496" w:type="dxa"/>
            <w:vAlign w:val="center"/>
          </w:tcPr>
          <w:p w:rsidR="00974FB8" w:rsidRPr="002A10AD" w:rsidRDefault="00974FB8" w:rsidP="00527A5A">
            <w:pPr>
              <w:spacing w:line="240" w:lineRule="auto"/>
              <w:ind w:firstLine="0"/>
              <w:jc w:val="center"/>
              <w:rPr>
                <w:szCs w:val="32"/>
              </w:rPr>
            </w:pPr>
            <w:r w:rsidRPr="002A10AD">
              <w:rPr>
                <w:rFonts w:hint="eastAsia"/>
                <w:szCs w:val="32"/>
              </w:rPr>
              <w:t>7870</w:t>
            </w:r>
            <w:r w:rsidRPr="002A10AD">
              <w:rPr>
                <w:rFonts w:hint="eastAsia"/>
                <w:szCs w:val="32"/>
              </w:rPr>
              <w:t>万</w:t>
            </w:r>
            <w:r w:rsidRPr="002A10AD">
              <w:rPr>
                <w:szCs w:val="32"/>
              </w:rPr>
              <w:t>美元</w:t>
            </w:r>
          </w:p>
          <w:p w:rsidR="007945CE" w:rsidRPr="002A10AD" w:rsidRDefault="007945CE" w:rsidP="00527A5A">
            <w:pPr>
              <w:spacing w:line="240" w:lineRule="auto"/>
              <w:ind w:firstLine="0"/>
              <w:jc w:val="center"/>
              <w:rPr>
                <w:szCs w:val="32"/>
              </w:rPr>
            </w:pPr>
            <w:r w:rsidRPr="002A10AD">
              <w:rPr>
                <w:rFonts w:hint="eastAsia"/>
                <w:szCs w:val="32"/>
              </w:rPr>
              <w:t>（</w:t>
            </w:r>
            <w:r w:rsidRPr="002A10AD">
              <w:rPr>
                <w:rFonts w:hint="eastAsia"/>
                <w:szCs w:val="32"/>
              </w:rPr>
              <w:t>2014</w:t>
            </w:r>
            <w:r w:rsidRPr="002A10AD">
              <w:rPr>
                <w:szCs w:val="32"/>
              </w:rPr>
              <w:t>）</w:t>
            </w:r>
          </w:p>
        </w:tc>
        <w:tc>
          <w:tcPr>
            <w:tcW w:w="1638" w:type="dxa"/>
            <w:gridSpan w:val="2"/>
            <w:vAlign w:val="center"/>
          </w:tcPr>
          <w:p w:rsidR="00974FB8" w:rsidRPr="002A10AD" w:rsidRDefault="00974FB8" w:rsidP="00527A5A">
            <w:pPr>
              <w:spacing w:line="240" w:lineRule="auto"/>
              <w:ind w:firstLine="0"/>
              <w:jc w:val="center"/>
              <w:rPr>
                <w:szCs w:val="32"/>
              </w:rPr>
            </w:pPr>
            <w:r w:rsidRPr="002A10AD">
              <w:rPr>
                <w:rFonts w:hint="eastAsia"/>
                <w:szCs w:val="32"/>
              </w:rPr>
              <w:t>碳排放</w:t>
            </w:r>
            <w:r w:rsidRPr="002A10AD">
              <w:rPr>
                <w:szCs w:val="32"/>
              </w:rPr>
              <w:t>交易平台</w:t>
            </w:r>
          </w:p>
          <w:p w:rsidR="00974FB8" w:rsidRPr="002A10AD" w:rsidRDefault="00974FB8" w:rsidP="00527A5A">
            <w:pPr>
              <w:spacing w:line="240" w:lineRule="auto"/>
              <w:ind w:firstLine="0"/>
              <w:jc w:val="center"/>
              <w:rPr>
                <w:szCs w:val="32"/>
              </w:rPr>
            </w:pPr>
            <w:r w:rsidRPr="002A10AD">
              <w:rPr>
                <w:rFonts w:hint="eastAsia"/>
                <w:szCs w:val="32"/>
              </w:rPr>
              <w:t>债券</w:t>
            </w:r>
            <w:r w:rsidRPr="002A10AD">
              <w:rPr>
                <w:szCs w:val="32"/>
              </w:rPr>
              <w:t>基金</w:t>
            </w:r>
          </w:p>
        </w:tc>
      </w:tr>
      <w:tr w:rsidR="00974FB8" w:rsidRPr="002A10AD" w:rsidTr="00CF114F">
        <w:trPr>
          <w:jc w:val="center"/>
        </w:trPr>
        <w:tc>
          <w:tcPr>
            <w:tcW w:w="536" w:type="dxa"/>
            <w:vMerge/>
            <w:vAlign w:val="center"/>
          </w:tcPr>
          <w:p w:rsidR="00974FB8" w:rsidRPr="002A10AD" w:rsidRDefault="00974FB8" w:rsidP="00527A5A">
            <w:pPr>
              <w:spacing w:line="240" w:lineRule="auto"/>
              <w:ind w:firstLine="0"/>
              <w:rPr>
                <w:szCs w:val="32"/>
              </w:rPr>
            </w:pPr>
          </w:p>
        </w:tc>
        <w:tc>
          <w:tcPr>
            <w:tcW w:w="3135" w:type="dxa"/>
            <w:vAlign w:val="center"/>
          </w:tcPr>
          <w:p w:rsidR="00974FB8" w:rsidRPr="002A10AD" w:rsidRDefault="00974FB8" w:rsidP="00527A5A">
            <w:pPr>
              <w:spacing w:line="240" w:lineRule="auto"/>
              <w:ind w:firstLine="0"/>
              <w:rPr>
                <w:szCs w:val="32"/>
              </w:rPr>
            </w:pPr>
            <w:r w:rsidRPr="002A10AD">
              <w:rPr>
                <w:szCs w:val="32"/>
              </w:rPr>
              <w:t>美国新泽西州</w:t>
            </w:r>
            <w:r w:rsidRPr="002A10AD">
              <w:rPr>
                <w:rFonts w:hint="eastAsia"/>
                <w:szCs w:val="32"/>
              </w:rPr>
              <w:t>能源适应力银行</w:t>
            </w:r>
          </w:p>
        </w:tc>
        <w:tc>
          <w:tcPr>
            <w:tcW w:w="1002" w:type="dxa"/>
            <w:vAlign w:val="center"/>
          </w:tcPr>
          <w:p w:rsidR="00974FB8" w:rsidRPr="002A10AD" w:rsidRDefault="00974FB8" w:rsidP="00527A5A">
            <w:pPr>
              <w:spacing w:line="240" w:lineRule="auto"/>
              <w:ind w:firstLine="0"/>
              <w:jc w:val="center"/>
              <w:rPr>
                <w:szCs w:val="32"/>
              </w:rPr>
            </w:pPr>
            <w:r w:rsidRPr="002A10AD">
              <w:rPr>
                <w:szCs w:val="32"/>
              </w:rPr>
              <w:t>2014</w:t>
            </w:r>
          </w:p>
        </w:tc>
        <w:tc>
          <w:tcPr>
            <w:tcW w:w="1577" w:type="dxa"/>
            <w:gridSpan w:val="2"/>
            <w:vAlign w:val="center"/>
          </w:tcPr>
          <w:p w:rsidR="00974FB8" w:rsidRPr="002A10AD" w:rsidRDefault="00974FB8" w:rsidP="00527A5A">
            <w:pPr>
              <w:spacing w:line="240" w:lineRule="auto"/>
              <w:ind w:firstLine="0"/>
              <w:jc w:val="right"/>
              <w:rPr>
                <w:szCs w:val="32"/>
              </w:rPr>
            </w:pPr>
            <w:r w:rsidRPr="002A10AD">
              <w:rPr>
                <w:rFonts w:hint="eastAsia"/>
                <w:szCs w:val="32"/>
              </w:rPr>
              <w:t>12.4</w:t>
            </w:r>
            <w:r w:rsidRPr="002A10AD">
              <w:rPr>
                <w:rFonts w:hint="eastAsia"/>
                <w:szCs w:val="32"/>
              </w:rPr>
              <w:t>亿元</w:t>
            </w:r>
          </w:p>
        </w:tc>
        <w:tc>
          <w:tcPr>
            <w:tcW w:w="1496" w:type="dxa"/>
            <w:vAlign w:val="center"/>
          </w:tcPr>
          <w:p w:rsidR="00974FB8" w:rsidRPr="002A10AD" w:rsidRDefault="00974FB8" w:rsidP="00527A5A">
            <w:pPr>
              <w:spacing w:line="240" w:lineRule="auto"/>
              <w:ind w:firstLine="0"/>
              <w:jc w:val="center"/>
              <w:rPr>
                <w:szCs w:val="32"/>
              </w:rPr>
            </w:pPr>
            <w:r w:rsidRPr="002A10AD">
              <w:rPr>
                <w:rFonts w:hint="eastAsia"/>
                <w:szCs w:val="32"/>
              </w:rPr>
              <w:t>2</w:t>
            </w:r>
            <w:r w:rsidRPr="002A10AD">
              <w:rPr>
                <w:rFonts w:hint="eastAsia"/>
                <w:szCs w:val="32"/>
              </w:rPr>
              <w:t>亿</w:t>
            </w:r>
          </w:p>
          <w:p w:rsidR="00974FB8" w:rsidRPr="002A10AD" w:rsidRDefault="00974FB8" w:rsidP="00527A5A">
            <w:pPr>
              <w:spacing w:line="240" w:lineRule="auto"/>
              <w:ind w:firstLine="0"/>
              <w:jc w:val="center"/>
              <w:rPr>
                <w:szCs w:val="32"/>
              </w:rPr>
            </w:pPr>
            <w:r w:rsidRPr="002A10AD">
              <w:rPr>
                <w:szCs w:val="32"/>
              </w:rPr>
              <w:t>美元</w:t>
            </w:r>
          </w:p>
        </w:tc>
        <w:tc>
          <w:tcPr>
            <w:tcW w:w="1638" w:type="dxa"/>
            <w:gridSpan w:val="2"/>
            <w:vAlign w:val="center"/>
          </w:tcPr>
          <w:p w:rsidR="00974FB8" w:rsidRPr="002A10AD" w:rsidRDefault="00974FB8" w:rsidP="00527A5A">
            <w:pPr>
              <w:spacing w:line="240" w:lineRule="auto"/>
              <w:ind w:firstLine="0"/>
              <w:jc w:val="center"/>
              <w:rPr>
                <w:szCs w:val="32"/>
              </w:rPr>
            </w:pPr>
            <w:r w:rsidRPr="002A10AD">
              <w:rPr>
                <w:rFonts w:hint="eastAsia"/>
                <w:szCs w:val="32"/>
              </w:rPr>
              <w:t>部委</w:t>
            </w:r>
            <w:r w:rsidRPr="002A10AD">
              <w:rPr>
                <w:szCs w:val="32"/>
              </w:rPr>
              <w:t>拨款</w:t>
            </w:r>
          </w:p>
        </w:tc>
      </w:tr>
    </w:tbl>
    <w:p w:rsidR="00CD730B" w:rsidRPr="00087EA9" w:rsidRDefault="004E5B5E" w:rsidP="009C5160">
      <w:pPr>
        <w:pStyle w:val="Heading1"/>
      </w:pPr>
      <w:r w:rsidRPr="00087EA9">
        <w:rPr>
          <w:rFonts w:hint="eastAsia"/>
        </w:rPr>
        <w:t>三</w:t>
      </w:r>
      <w:r w:rsidRPr="00087EA9">
        <w:t>、</w:t>
      </w:r>
      <w:r w:rsidR="00CD730B" w:rsidRPr="00087EA9">
        <w:rPr>
          <w:rFonts w:hint="eastAsia"/>
        </w:rPr>
        <w:t>商业模式</w:t>
      </w:r>
    </w:p>
    <w:p w:rsidR="00DE081F" w:rsidRPr="00087EA9" w:rsidRDefault="009C5160" w:rsidP="009C5160">
      <w:pPr>
        <w:pStyle w:val="Heading2"/>
      </w:pPr>
      <w:r>
        <w:rPr>
          <w:rFonts w:hint="eastAsia"/>
        </w:rPr>
        <w:t>（</w:t>
      </w:r>
      <w:r>
        <w:t>一）</w:t>
      </w:r>
      <w:r w:rsidR="00494143" w:rsidRPr="00087EA9">
        <w:rPr>
          <w:rFonts w:hint="eastAsia"/>
        </w:rPr>
        <w:t>以商业</w:t>
      </w:r>
      <w:r w:rsidR="00494143" w:rsidRPr="00087EA9">
        <w:t>条款或准商业条款运营</w:t>
      </w:r>
    </w:p>
    <w:p w:rsidR="004E5B5E" w:rsidRDefault="003B0A91" w:rsidP="002A10AD">
      <w:r w:rsidRPr="00087EA9">
        <w:rPr>
          <w:rFonts w:hint="eastAsia"/>
        </w:rPr>
        <w:t>与以往</w:t>
      </w:r>
      <w:r w:rsidRPr="00087EA9">
        <w:t>的政府项目不同，</w:t>
      </w:r>
      <w:r w:rsidR="00223054">
        <w:rPr>
          <w:rFonts w:hint="eastAsia"/>
        </w:rPr>
        <w:t>各个</w:t>
      </w:r>
      <w:r w:rsidR="00223054">
        <w:t>国家或</w:t>
      </w:r>
      <w:r w:rsidRPr="00087EA9">
        <w:t>地方</w:t>
      </w:r>
      <w:r w:rsidRPr="00087EA9">
        <w:rPr>
          <w:rFonts w:hint="eastAsia"/>
        </w:rPr>
        <w:t>政府</w:t>
      </w:r>
      <w:r w:rsidRPr="00087EA9">
        <w:t>成立的绿色银行</w:t>
      </w:r>
      <w:r w:rsidRPr="00087EA9">
        <w:rPr>
          <w:rFonts w:hint="eastAsia"/>
        </w:rPr>
        <w:t>都</w:t>
      </w:r>
      <w:r w:rsidRPr="00087EA9">
        <w:t>具有</w:t>
      </w:r>
      <w:r w:rsidRPr="00087EA9">
        <w:rPr>
          <w:rFonts w:hint="eastAsia"/>
        </w:rPr>
        <w:t>“银行”的特性。</w:t>
      </w:r>
      <w:r w:rsidR="00223054">
        <w:rPr>
          <w:rFonts w:hint="eastAsia"/>
        </w:rPr>
        <w:t>以注资</w:t>
      </w:r>
      <w:r w:rsidR="00223054">
        <w:t>模式</w:t>
      </w:r>
      <w:r w:rsidR="00223054">
        <w:rPr>
          <w:rFonts w:hint="eastAsia"/>
        </w:rPr>
        <w:t>为例</w:t>
      </w:r>
      <w:r w:rsidR="00223054">
        <w:t>，</w:t>
      </w:r>
      <w:r w:rsidRPr="00087EA9">
        <w:rPr>
          <w:rFonts w:hint="eastAsia"/>
        </w:rPr>
        <w:t>政府</w:t>
      </w:r>
      <w:r w:rsidRPr="00087EA9">
        <w:t>不再每年向绿</w:t>
      </w:r>
      <w:r w:rsidRPr="00087EA9">
        <w:lastRenderedPageBreak/>
        <w:t>色银行注资，而是</w:t>
      </w:r>
      <w:r w:rsidRPr="00087EA9">
        <w:rPr>
          <w:rFonts w:hint="eastAsia"/>
        </w:rPr>
        <w:t>仅在</w:t>
      </w:r>
      <w:r w:rsidR="00223054">
        <w:rPr>
          <w:rFonts w:hint="eastAsia"/>
        </w:rPr>
        <w:t>初始</w:t>
      </w:r>
      <w:r w:rsidR="00223054">
        <w:t>的</w:t>
      </w:r>
      <w:r w:rsidRPr="00087EA9">
        <w:t>一年至五年内</w:t>
      </w:r>
      <w:r w:rsidRPr="00087EA9">
        <w:rPr>
          <w:rFonts w:hint="eastAsia"/>
        </w:rPr>
        <w:t>为绿色</w:t>
      </w:r>
      <w:r w:rsidRPr="00087EA9">
        <w:t>银行提供初始资金</w:t>
      </w:r>
      <w:r w:rsidRPr="00087EA9">
        <w:rPr>
          <w:rFonts w:hint="eastAsia"/>
        </w:rPr>
        <w:t>。</w:t>
      </w:r>
      <w:r w:rsidRPr="00087EA9">
        <w:t>绿色</w:t>
      </w:r>
      <w:r w:rsidRPr="00087EA9">
        <w:rPr>
          <w:rFonts w:hint="eastAsia"/>
        </w:rPr>
        <w:t>银行则</w:t>
      </w:r>
      <w:r w:rsidRPr="00087EA9">
        <w:t>需</w:t>
      </w:r>
      <w:r w:rsidRPr="00087EA9">
        <w:rPr>
          <w:rFonts w:hint="eastAsia"/>
        </w:rPr>
        <w:t>要</w:t>
      </w:r>
      <w:r w:rsidRPr="00087EA9">
        <w:t>以商业条款或准商业</w:t>
      </w:r>
      <w:r w:rsidRPr="00087EA9">
        <w:rPr>
          <w:rFonts w:hint="eastAsia"/>
        </w:rPr>
        <w:t>条款</w:t>
      </w:r>
      <w:r w:rsidRPr="00087EA9">
        <w:t>运营，并自负盈亏。</w:t>
      </w:r>
      <w:r w:rsidR="00087EA9" w:rsidRPr="00087EA9">
        <w:rPr>
          <w:rFonts w:hint="eastAsia"/>
        </w:rPr>
        <w:t>这使得</w:t>
      </w:r>
      <w:r w:rsidR="009C5160">
        <w:t>绿色银行在正式运营后，可以独立于政府预算运作</w:t>
      </w:r>
      <w:r w:rsidR="009C5160">
        <w:rPr>
          <w:rFonts w:hint="eastAsia"/>
        </w:rPr>
        <w:t>。</w:t>
      </w:r>
      <w:r w:rsidR="00223054">
        <w:rPr>
          <w:rFonts w:hint="eastAsia"/>
        </w:rPr>
        <w:t>即使</w:t>
      </w:r>
      <w:r w:rsidR="00087EA9" w:rsidRPr="00087EA9">
        <w:t>政府</w:t>
      </w:r>
      <w:r w:rsidR="00223054">
        <w:rPr>
          <w:rFonts w:hint="eastAsia"/>
        </w:rPr>
        <w:t>出现</w:t>
      </w:r>
      <w:r w:rsidR="00087EA9" w:rsidRPr="00087EA9">
        <w:rPr>
          <w:rFonts w:hint="eastAsia"/>
        </w:rPr>
        <w:t>财政</w:t>
      </w:r>
      <w:r w:rsidR="00087EA9" w:rsidRPr="00087EA9">
        <w:t>赤字，</w:t>
      </w:r>
      <w:r w:rsidR="00087EA9" w:rsidRPr="00087EA9">
        <w:rPr>
          <w:rFonts w:hint="eastAsia"/>
        </w:rPr>
        <w:t>绿色</w:t>
      </w:r>
      <w:r w:rsidR="00087EA9" w:rsidRPr="00087EA9">
        <w:t>银行</w:t>
      </w:r>
      <w:r w:rsidR="009C5160">
        <w:rPr>
          <w:rFonts w:hint="eastAsia"/>
        </w:rPr>
        <w:t>的</w:t>
      </w:r>
      <w:r w:rsidR="009C5160">
        <w:t>运营</w:t>
      </w:r>
      <w:r w:rsidR="00223054">
        <w:rPr>
          <w:rFonts w:hint="eastAsia"/>
        </w:rPr>
        <w:t>也</w:t>
      </w:r>
      <w:r w:rsidR="00223054">
        <w:t>不会</w:t>
      </w:r>
      <w:r w:rsidR="00087EA9" w:rsidRPr="00087EA9">
        <w:rPr>
          <w:rFonts w:hint="eastAsia"/>
        </w:rPr>
        <w:t>受到</w:t>
      </w:r>
      <w:r w:rsidR="00087EA9" w:rsidRPr="00087EA9">
        <w:t>影响</w:t>
      </w:r>
      <w:r w:rsidR="00087EA9" w:rsidRPr="00087EA9">
        <w:rPr>
          <w:rFonts w:hint="eastAsia"/>
        </w:rPr>
        <w:t>、</w:t>
      </w:r>
      <w:r w:rsidR="00087EA9" w:rsidRPr="00087EA9">
        <w:t>并</w:t>
      </w:r>
      <w:r w:rsidR="00087EA9" w:rsidRPr="00087EA9">
        <w:rPr>
          <w:rFonts w:hint="eastAsia"/>
        </w:rPr>
        <w:t>将持续</w:t>
      </w:r>
      <w:r w:rsidR="00087EA9" w:rsidRPr="00087EA9">
        <w:t>的</w:t>
      </w:r>
      <w:r w:rsidR="00087EA9" w:rsidRPr="00087EA9">
        <w:rPr>
          <w:rFonts w:hint="eastAsia"/>
        </w:rPr>
        <w:t>对</w:t>
      </w:r>
      <w:r w:rsidR="00087EA9" w:rsidRPr="00087EA9">
        <w:t>绿色经济</w:t>
      </w:r>
      <w:r w:rsidR="00087EA9" w:rsidRPr="00087EA9">
        <w:rPr>
          <w:rFonts w:hint="eastAsia"/>
        </w:rPr>
        <w:t>作出</w:t>
      </w:r>
      <w:r w:rsidR="00087EA9" w:rsidRPr="00087EA9">
        <w:t>贡献。</w:t>
      </w:r>
      <w:r w:rsidR="00087EA9" w:rsidRPr="00087EA9">
        <w:rPr>
          <w:rFonts w:hint="eastAsia"/>
        </w:rPr>
        <w:t>其次</w:t>
      </w:r>
      <w:r w:rsidR="00087EA9" w:rsidRPr="00087EA9">
        <w:t>，</w:t>
      </w:r>
      <w:r w:rsidR="00087EA9" w:rsidRPr="00087EA9">
        <w:rPr>
          <w:rFonts w:hint="eastAsia"/>
        </w:rPr>
        <w:t>在</w:t>
      </w:r>
      <w:r w:rsidR="00087EA9" w:rsidRPr="00087EA9">
        <w:t>商业条款或准商业条款下运营</w:t>
      </w:r>
      <w:r w:rsidR="00087EA9" w:rsidRPr="00087EA9">
        <w:rPr>
          <w:rFonts w:hint="eastAsia"/>
        </w:rPr>
        <w:t>，</w:t>
      </w:r>
      <w:r w:rsidR="00087EA9" w:rsidRPr="00087EA9">
        <w:t>绿色银行将尽</w:t>
      </w:r>
      <w:r w:rsidR="009C5160">
        <w:t>可能的减轻对市场价格的干预、减少市场扭曲，使得</w:t>
      </w:r>
      <w:r w:rsidR="009C5160">
        <w:rPr>
          <w:rFonts w:hint="eastAsia"/>
        </w:rPr>
        <w:t>绿色</w:t>
      </w:r>
      <w:r w:rsidR="00087EA9" w:rsidRPr="00087EA9">
        <w:t>行业能够</w:t>
      </w:r>
      <w:r w:rsidR="00087EA9" w:rsidRPr="00087EA9">
        <w:rPr>
          <w:rFonts w:hint="eastAsia"/>
        </w:rPr>
        <w:t>健康</w:t>
      </w:r>
      <w:r w:rsidR="00087EA9" w:rsidRPr="00087EA9">
        <w:t>发展。</w:t>
      </w:r>
    </w:p>
    <w:p w:rsidR="00223054" w:rsidRDefault="00292ECD" w:rsidP="002A10AD">
      <w:r>
        <w:rPr>
          <w:rFonts w:hint="eastAsia"/>
        </w:rPr>
        <w:t>例如，</w:t>
      </w:r>
      <w:r w:rsidR="00454140">
        <w:rPr>
          <w:rFonts w:hint="eastAsia"/>
        </w:rPr>
        <w:t>澳大利</w:t>
      </w:r>
      <w:r w:rsidR="00454140" w:rsidRPr="00087EA9">
        <w:rPr>
          <w:rFonts w:hint="eastAsia"/>
        </w:rPr>
        <w:t>亚</w:t>
      </w:r>
      <w:r w:rsidR="00454140" w:rsidRPr="00087EA9">
        <w:t>清洁能源金融公司</w:t>
      </w:r>
      <w:r w:rsidR="00454140">
        <w:rPr>
          <w:rFonts w:hint="eastAsia"/>
        </w:rPr>
        <w:t>则按照</w:t>
      </w:r>
      <w:r w:rsidR="00454140">
        <w:t>准商业条款运营，</w:t>
      </w:r>
      <w:r w:rsidR="00454140">
        <w:rPr>
          <w:rFonts w:hint="eastAsia"/>
        </w:rPr>
        <w:t>设定</w:t>
      </w:r>
      <w:r w:rsidR="00454140">
        <w:t>了</w:t>
      </w:r>
      <w:r w:rsidR="007F1339">
        <w:t>基准</w:t>
      </w:r>
      <w:r w:rsidR="00454140">
        <w:t>投资回报率，该</w:t>
      </w:r>
      <w:r w:rsidR="007F1339">
        <w:t>基准投资回报率</w:t>
      </w:r>
      <w:r w:rsidR="00454140">
        <w:rPr>
          <w:rFonts w:hint="eastAsia"/>
        </w:rPr>
        <w:t>为澳大利亚</w:t>
      </w:r>
      <w:r w:rsidR="00454140">
        <w:t>政府</w:t>
      </w:r>
      <w:r w:rsidR="00454140">
        <w:rPr>
          <w:rFonts w:hint="eastAsia"/>
        </w:rPr>
        <w:t>五年期</w:t>
      </w:r>
      <w:r w:rsidR="00454140">
        <w:t>债券利率</w:t>
      </w:r>
      <w:r w:rsidR="00454140">
        <w:rPr>
          <w:rFonts w:hint="eastAsia"/>
        </w:rPr>
        <w:t>的</w:t>
      </w:r>
      <w:r w:rsidR="00454140">
        <w:t>加权平均值。</w:t>
      </w:r>
      <w:r w:rsidR="00223054">
        <w:rPr>
          <w:rFonts w:hint="eastAsia"/>
        </w:rPr>
        <w:t>澳大利亚也对</w:t>
      </w:r>
      <w:r w:rsidR="00223054" w:rsidRPr="00087EA9">
        <w:t>清洁能源金融公司</w:t>
      </w:r>
      <w:r w:rsidR="00223054">
        <w:rPr>
          <w:rFonts w:hint="eastAsia"/>
        </w:rPr>
        <w:t>发</w:t>
      </w:r>
      <w:r w:rsidR="00223054">
        <w:t>放</w:t>
      </w:r>
      <w:r w:rsidR="00223054">
        <w:rPr>
          <w:rFonts w:hint="eastAsia"/>
        </w:rPr>
        <w:t>优惠</w:t>
      </w:r>
      <w:r w:rsidR="00223054">
        <w:t>贷款的规模做出了限制，</w:t>
      </w:r>
      <w:r w:rsidR="00454140">
        <w:t>每年不得超过</w:t>
      </w:r>
      <w:r w:rsidR="00454140">
        <w:rPr>
          <w:rFonts w:hint="eastAsia"/>
        </w:rPr>
        <w:t>15.2</w:t>
      </w:r>
      <w:r w:rsidR="00454140">
        <w:rPr>
          <w:rFonts w:hint="eastAsia"/>
        </w:rPr>
        <w:t>亿元</w:t>
      </w:r>
      <w:r w:rsidR="00454140">
        <w:t>人民币（</w:t>
      </w:r>
      <w:r w:rsidR="00454140">
        <w:rPr>
          <w:rFonts w:hint="eastAsia"/>
        </w:rPr>
        <w:t>3</w:t>
      </w:r>
      <w:r w:rsidR="00454140">
        <w:rPr>
          <w:rFonts w:hint="eastAsia"/>
        </w:rPr>
        <w:t>亿</w:t>
      </w:r>
      <w:r w:rsidR="00454140">
        <w:t>澳元）</w:t>
      </w:r>
      <w:r w:rsidR="00574969">
        <w:rPr>
          <w:rStyle w:val="FootnoteReference"/>
          <w:rFonts w:ascii="仿宋" w:hAnsi="仿宋"/>
          <w:szCs w:val="32"/>
        </w:rPr>
        <w:footnoteReference w:id="9"/>
      </w:r>
      <w:r w:rsidR="00454140">
        <w:rPr>
          <w:rFonts w:hint="eastAsia"/>
        </w:rPr>
        <w:t>。</w:t>
      </w:r>
    </w:p>
    <w:p w:rsidR="00292ECD" w:rsidRDefault="007E2DBD" w:rsidP="002A10AD">
      <w:r>
        <w:t>英国绿色投资银行</w:t>
      </w:r>
      <w:r w:rsidR="00223054">
        <w:rPr>
          <w:rFonts w:hint="eastAsia"/>
        </w:rPr>
        <w:t>则</w:t>
      </w:r>
      <w:r>
        <w:t>明确</w:t>
      </w:r>
      <w:r w:rsidR="007C4F87">
        <w:rPr>
          <w:rFonts w:hint="eastAsia"/>
        </w:rPr>
        <w:t>按照商业</w:t>
      </w:r>
      <w:r w:rsidR="007C4F87">
        <w:t>条款运营</w:t>
      </w:r>
      <w:r w:rsidR="007C4F87">
        <w:rPr>
          <w:rFonts w:hint="eastAsia"/>
        </w:rPr>
        <w:t>，</w:t>
      </w:r>
      <w:r w:rsidR="007C4F87">
        <w:t>要求每一笔投资都必须提供与项目风险相对应的</w:t>
      </w:r>
      <w:r w:rsidR="007C4F87">
        <w:rPr>
          <w:rFonts w:hint="eastAsia"/>
        </w:rPr>
        <w:t>商业</w:t>
      </w:r>
      <w:r w:rsidR="007C4F87">
        <w:t>投资回报</w:t>
      </w:r>
      <w:r w:rsidR="007C4F87">
        <w:rPr>
          <w:rFonts w:hint="eastAsia"/>
        </w:rPr>
        <w:t>。</w:t>
      </w:r>
      <w:r w:rsidR="00223054">
        <w:rPr>
          <w:rFonts w:hint="eastAsia"/>
        </w:rPr>
        <w:t>公司</w:t>
      </w:r>
      <w:r w:rsidR="00223054">
        <w:t>章程</w:t>
      </w:r>
      <w:r>
        <w:t>还</w:t>
      </w:r>
      <w:r w:rsidR="007C4F87">
        <w:t>规定</w:t>
      </w:r>
      <w:r w:rsidR="00223054">
        <w:t>不</w:t>
      </w:r>
      <w:r w:rsidR="00223054">
        <w:rPr>
          <w:rFonts w:hint="eastAsia"/>
        </w:rPr>
        <w:t>允许</w:t>
      </w:r>
      <w:r w:rsidR="00292ECD">
        <w:t>发放低息贷款</w:t>
      </w:r>
      <w:r w:rsidR="00292ECD">
        <w:rPr>
          <w:rFonts w:hint="eastAsia"/>
        </w:rPr>
        <w:t>和</w:t>
      </w:r>
      <w:r w:rsidR="00292ECD">
        <w:t>拨款。</w:t>
      </w:r>
    </w:p>
    <w:p w:rsidR="00D24EB0" w:rsidRDefault="00D24EB0" w:rsidP="00D24EB0">
      <w:pPr>
        <w:pStyle w:val="Heading2"/>
      </w:pPr>
      <w:r>
        <w:rPr>
          <w:rFonts w:hint="eastAsia"/>
        </w:rPr>
        <w:t>（二</w:t>
      </w:r>
      <w:r>
        <w:t>）</w:t>
      </w:r>
      <w:r>
        <w:rPr>
          <w:rFonts w:hint="eastAsia"/>
        </w:rPr>
        <w:t>“量身定做</w:t>
      </w:r>
      <w:r>
        <w:t>”</w:t>
      </w:r>
      <w:r>
        <w:rPr>
          <w:rFonts w:hint="eastAsia"/>
        </w:rPr>
        <w:t>融资</w:t>
      </w:r>
      <w:r>
        <w:t>方案</w:t>
      </w:r>
    </w:p>
    <w:p w:rsidR="00D24EB0" w:rsidRDefault="00D24EB0" w:rsidP="002A10AD">
      <w:r>
        <w:rPr>
          <w:rFonts w:hint="eastAsia"/>
        </w:rPr>
        <w:t>绿色</w:t>
      </w:r>
      <w:r w:rsidR="00A836A9">
        <w:t>项目</w:t>
      </w:r>
      <w:r w:rsidR="00A836A9">
        <w:rPr>
          <w:rFonts w:hint="eastAsia"/>
        </w:rPr>
        <w:t>投资与</w:t>
      </w:r>
      <w:r w:rsidR="00A836A9">
        <w:t>传统</w:t>
      </w:r>
      <w:r w:rsidR="00223054">
        <w:rPr>
          <w:rFonts w:hint="eastAsia"/>
        </w:rPr>
        <w:t>项目</w:t>
      </w:r>
      <w:r w:rsidR="00A836A9">
        <w:t>投资</w:t>
      </w:r>
      <w:r w:rsidR="00A836A9">
        <w:rPr>
          <w:rFonts w:hint="eastAsia"/>
        </w:rPr>
        <w:t>的</w:t>
      </w:r>
      <w:r w:rsidR="00A836A9">
        <w:t>特点不同，</w:t>
      </w:r>
      <w:r w:rsidR="00A836A9">
        <w:rPr>
          <w:rFonts w:hint="eastAsia"/>
        </w:rPr>
        <w:t>绿色</w:t>
      </w:r>
      <w:r w:rsidR="00A836A9">
        <w:t>银行不能简单地套用单一模式，而需要为</w:t>
      </w:r>
      <w:r w:rsidR="00A836A9">
        <w:rPr>
          <w:rFonts w:hint="eastAsia"/>
        </w:rPr>
        <w:t>每种</w:t>
      </w:r>
      <w:r w:rsidR="00A836A9">
        <w:t>或每个项目</w:t>
      </w:r>
      <w:r w:rsidR="00A836A9">
        <w:t>“</w:t>
      </w:r>
      <w:r w:rsidR="00A836A9">
        <w:rPr>
          <w:rFonts w:hint="eastAsia"/>
        </w:rPr>
        <w:t>量身定做</w:t>
      </w:r>
      <w:r w:rsidR="00A836A9">
        <w:t>”</w:t>
      </w:r>
      <w:r w:rsidR="00A836A9">
        <w:rPr>
          <w:rFonts w:hint="eastAsia"/>
        </w:rPr>
        <w:t>融资</w:t>
      </w:r>
      <w:r w:rsidR="00A836A9">
        <w:t>方案。</w:t>
      </w:r>
      <w:r w:rsidR="00454140">
        <w:rPr>
          <w:rFonts w:hint="eastAsia"/>
        </w:rPr>
        <w:t>这是</w:t>
      </w:r>
      <w:r w:rsidR="00454140">
        <w:t>因为</w:t>
      </w:r>
      <w:r w:rsidR="00847A48">
        <w:rPr>
          <w:rFonts w:hint="eastAsia"/>
        </w:rPr>
        <w:t>绿色</w:t>
      </w:r>
      <w:r w:rsidR="00847A48">
        <w:t>项目投资</w:t>
      </w:r>
      <w:r w:rsidR="00847A48">
        <w:rPr>
          <w:rFonts w:hint="eastAsia"/>
        </w:rPr>
        <w:t>具有</w:t>
      </w:r>
      <w:r w:rsidR="00847A48">
        <w:t>如下特征：（</w:t>
      </w:r>
      <w:r w:rsidR="00847A48">
        <w:rPr>
          <w:rFonts w:hint="eastAsia"/>
        </w:rPr>
        <w:t>1</w:t>
      </w:r>
      <w:r w:rsidR="00847A48">
        <w:t>）</w:t>
      </w:r>
      <w:r w:rsidR="00847A48">
        <w:rPr>
          <w:rFonts w:hint="eastAsia"/>
        </w:rPr>
        <w:t>商业</w:t>
      </w:r>
      <w:r w:rsidR="00847A48">
        <w:t>模式不成熟，</w:t>
      </w:r>
      <w:r w:rsidR="00223054">
        <w:rPr>
          <w:rFonts w:hint="eastAsia"/>
        </w:rPr>
        <w:t>往往</w:t>
      </w:r>
      <w:r w:rsidR="00847A48">
        <w:t>社会效益大</w:t>
      </w:r>
      <w:r w:rsidR="00847A48">
        <w:rPr>
          <w:rFonts w:hint="eastAsia"/>
        </w:rPr>
        <w:t>，项目</w:t>
      </w:r>
      <w:r w:rsidR="00847A48">
        <w:t>收益小</w:t>
      </w:r>
      <w:r w:rsidR="00847A48">
        <w:rPr>
          <w:rFonts w:hint="eastAsia"/>
        </w:rPr>
        <w:t>，私营</w:t>
      </w:r>
      <w:r w:rsidR="00847A48">
        <w:t>部门投资者</w:t>
      </w:r>
      <w:r w:rsidR="00847A48">
        <w:rPr>
          <w:rFonts w:hint="eastAsia"/>
        </w:rPr>
        <w:t>对</w:t>
      </w:r>
      <w:r w:rsidR="00847A48">
        <w:t>商业模式</w:t>
      </w:r>
      <w:r w:rsidR="00847A48">
        <w:lastRenderedPageBreak/>
        <w:t>不了解；（</w:t>
      </w:r>
      <w:r w:rsidR="00454140">
        <w:rPr>
          <w:rFonts w:hint="eastAsia"/>
        </w:rPr>
        <w:t>2</w:t>
      </w:r>
      <w:r w:rsidR="00847A48">
        <w:t>）</w:t>
      </w:r>
      <w:r w:rsidR="00454140">
        <w:rPr>
          <w:rFonts w:hint="eastAsia"/>
        </w:rPr>
        <w:t>投资</w:t>
      </w:r>
      <w:r w:rsidR="00454140">
        <w:t>期限</w:t>
      </w:r>
      <w:r w:rsidR="00454140">
        <w:rPr>
          <w:rFonts w:hint="eastAsia"/>
        </w:rPr>
        <w:t>相对</w:t>
      </w:r>
      <w:r w:rsidR="00454140">
        <w:t>较长</w:t>
      </w:r>
      <w:r w:rsidR="00454140">
        <w:rPr>
          <w:rFonts w:hint="eastAsia"/>
        </w:rPr>
        <w:t>；</w:t>
      </w:r>
      <w:r w:rsidR="00454140">
        <w:t>（</w:t>
      </w:r>
      <w:r w:rsidR="00454140">
        <w:rPr>
          <w:rFonts w:hint="eastAsia"/>
        </w:rPr>
        <w:t>3</w:t>
      </w:r>
      <w:r w:rsidR="00454140">
        <w:t>）</w:t>
      </w:r>
      <w:r w:rsidR="00454140">
        <w:rPr>
          <w:rFonts w:hint="eastAsia"/>
        </w:rPr>
        <w:t>项目</w:t>
      </w:r>
      <w:r w:rsidR="00454140">
        <w:t>分散，如</w:t>
      </w:r>
      <w:r w:rsidR="00454140">
        <w:rPr>
          <w:rFonts w:hint="eastAsia"/>
        </w:rPr>
        <w:t>一个</w:t>
      </w:r>
      <w:r w:rsidR="00454140">
        <w:t>综合</w:t>
      </w:r>
      <w:r w:rsidR="00454140">
        <w:rPr>
          <w:rFonts w:hint="eastAsia"/>
        </w:rPr>
        <w:t>大</w:t>
      </w:r>
      <w:r w:rsidR="00454140">
        <w:t>项目</w:t>
      </w:r>
      <w:r w:rsidR="00454140">
        <w:rPr>
          <w:rFonts w:hint="eastAsia"/>
        </w:rPr>
        <w:t>往往</w:t>
      </w:r>
      <w:r w:rsidR="00454140">
        <w:t>可以分为几十个子项目。</w:t>
      </w:r>
    </w:p>
    <w:p w:rsidR="00454140" w:rsidRPr="00087EA9" w:rsidRDefault="0006078A" w:rsidP="002A10AD">
      <w:r>
        <w:rPr>
          <w:rFonts w:hint="eastAsia"/>
        </w:rPr>
        <w:t>英国绿色</w:t>
      </w:r>
      <w:r>
        <w:t>投资银行在</w:t>
      </w:r>
      <w:r>
        <w:rPr>
          <w:rFonts w:hint="eastAsia"/>
        </w:rPr>
        <w:t>2014</w:t>
      </w:r>
      <w:r>
        <w:rPr>
          <w:rFonts w:hint="eastAsia"/>
        </w:rPr>
        <w:t>年发起</w:t>
      </w:r>
      <w:r>
        <w:t>了</w:t>
      </w:r>
      <w:r>
        <w:rPr>
          <w:rFonts w:hint="eastAsia"/>
        </w:rPr>
        <w:t>绿色</w:t>
      </w:r>
      <w:r>
        <w:t>贷款融资机制，</w:t>
      </w:r>
      <w:r>
        <w:rPr>
          <w:rFonts w:hint="eastAsia"/>
        </w:rPr>
        <w:t>为</w:t>
      </w:r>
      <w:r>
        <w:t>英国地方政府</w:t>
      </w:r>
      <w:r>
        <w:rPr>
          <w:rFonts w:hint="eastAsia"/>
        </w:rPr>
        <w:t>将</w:t>
      </w:r>
      <w:r>
        <w:t>路灯</w:t>
      </w:r>
      <w:r w:rsidR="00223054">
        <w:rPr>
          <w:rFonts w:hint="eastAsia"/>
        </w:rPr>
        <w:t>灯泡</w:t>
      </w:r>
      <w:r w:rsidR="00C3205F">
        <w:rPr>
          <w:rFonts w:hint="eastAsia"/>
        </w:rPr>
        <w:t>更</w:t>
      </w:r>
      <w:r>
        <w:t>换至</w:t>
      </w:r>
      <w:r w:rsidR="003E4525">
        <w:rPr>
          <w:rFonts w:hint="eastAsia"/>
        </w:rPr>
        <w:t>节能</w:t>
      </w:r>
      <w:r>
        <w:t>灯泡进行融资。</w:t>
      </w:r>
      <w:r>
        <w:rPr>
          <w:rFonts w:hint="eastAsia"/>
        </w:rPr>
        <w:t>该绿色</w:t>
      </w:r>
      <w:r>
        <w:t>贷款融资机制是绿色银行为</w:t>
      </w:r>
      <w:r>
        <w:rPr>
          <w:rFonts w:hint="eastAsia"/>
        </w:rPr>
        <w:t>公共</w:t>
      </w:r>
      <w:r>
        <w:t>部门节能项目</w:t>
      </w:r>
      <w:r>
        <w:rPr>
          <w:rFonts w:hint="eastAsia"/>
        </w:rPr>
        <w:t>“量身</w:t>
      </w:r>
      <w:r>
        <w:t>定做</w:t>
      </w:r>
      <w:r>
        <w:t>”</w:t>
      </w:r>
      <w:r>
        <w:rPr>
          <w:rFonts w:hint="eastAsia"/>
        </w:rPr>
        <w:t>的</w:t>
      </w:r>
      <w:r>
        <w:t>金融产品，</w:t>
      </w:r>
      <w:r w:rsidR="00601427">
        <w:t>为地方政府</w:t>
      </w:r>
      <w:r w:rsidR="00223054">
        <w:t>提供了</w:t>
      </w:r>
      <w:r w:rsidR="00223054">
        <w:rPr>
          <w:rFonts w:hint="eastAsia"/>
        </w:rPr>
        <w:t>贷款</w:t>
      </w:r>
      <w:r w:rsidR="00223054">
        <w:t>期限</w:t>
      </w:r>
      <w:r w:rsidR="00223054">
        <w:rPr>
          <w:rFonts w:hint="eastAsia"/>
        </w:rPr>
        <w:t>最高</w:t>
      </w:r>
      <w:r w:rsidR="00223054">
        <w:t>可达</w:t>
      </w:r>
      <w:r w:rsidR="00223054">
        <w:rPr>
          <w:rFonts w:hint="eastAsia"/>
        </w:rPr>
        <w:t>25</w:t>
      </w:r>
      <w:r w:rsidR="00223054">
        <w:rPr>
          <w:rFonts w:hint="eastAsia"/>
        </w:rPr>
        <w:t>年</w:t>
      </w:r>
      <w:r w:rsidR="00223054">
        <w:t>的</w:t>
      </w:r>
      <w:r w:rsidR="00223054">
        <w:rPr>
          <w:rFonts w:hint="eastAsia"/>
        </w:rPr>
        <w:t>低息</w:t>
      </w:r>
      <w:r w:rsidR="00223054">
        <w:t>贷款</w:t>
      </w:r>
      <w:r w:rsidR="00223054">
        <w:rPr>
          <w:rFonts w:hint="eastAsia"/>
        </w:rPr>
        <w:t>。这些贷款条约</w:t>
      </w:r>
      <w:r w:rsidR="00223054">
        <w:t>使得</w:t>
      </w:r>
      <w:r w:rsidR="00223054">
        <w:rPr>
          <w:rFonts w:hint="eastAsia"/>
        </w:rPr>
        <w:t>地方</w:t>
      </w:r>
      <w:r w:rsidR="00223054">
        <w:t>政府</w:t>
      </w:r>
      <w:r>
        <w:rPr>
          <w:rFonts w:hint="eastAsia"/>
        </w:rPr>
        <w:t>可以</w:t>
      </w:r>
      <w:r w:rsidR="00FD6278">
        <w:rPr>
          <w:rFonts w:hint="eastAsia"/>
        </w:rPr>
        <w:t>使用</w:t>
      </w:r>
      <w:r w:rsidR="00FD6278">
        <w:t>节省的电力消费偿还贷款</w:t>
      </w:r>
      <w:r w:rsidR="00223054">
        <w:rPr>
          <w:rFonts w:hint="eastAsia"/>
        </w:rPr>
        <w:t>，</w:t>
      </w:r>
      <w:r w:rsidR="00223054">
        <w:t>而无需</w:t>
      </w:r>
      <w:r w:rsidR="00A5047B">
        <w:rPr>
          <w:rFonts w:hint="eastAsia"/>
        </w:rPr>
        <w:t>额外</w:t>
      </w:r>
      <w:r w:rsidR="00A5047B">
        <w:t>从预算中安排资金</w:t>
      </w:r>
      <w:r w:rsidR="00FD6278">
        <w:t>。</w:t>
      </w:r>
      <w:r w:rsidR="003E4525">
        <w:rPr>
          <w:rFonts w:hint="eastAsia"/>
        </w:rPr>
        <w:t>切换至节能</w:t>
      </w:r>
      <w:r w:rsidR="003E4525">
        <w:t>灯泡后，英国地方政府</w:t>
      </w:r>
      <w:r w:rsidR="003E4525">
        <w:rPr>
          <w:rFonts w:hint="eastAsia"/>
        </w:rPr>
        <w:t>可</w:t>
      </w:r>
      <w:r w:rsidR="003E4525">
        <w:t>降低最高</w:t>
      </w:r>
      <w:r w:rsidR="003E4525">
        <w:rPr>
          <w:rFonts w:hint="eastAsia"/>
        </w:rPr>
        <w:t>80</w:t>
      </w:r>
      <w:r w:rsidR="003E4525">
        <w:t>%</w:t>
      </w:r>
      <w:r w:rsidR="003E4525">
        <w:t>的</w:t>
      </w:r>
      <w:r w:rsidR="003E4525">
        <w:rPr>
          <w:rFonts w:hint="eastAsia"/>
        </w:rPr>
        <w:t>电费</w:t>
      </w:r>
      <w:r w:rsidR="000F4EB9">
        <w:t>，并且</w:t>
      </w:r>
      <w:r w:rsidR="000F4EB9">
        <w:rPr>
          <w:rFonts w:hint="eastAsia"/>
        </w:rPr>
        <w:t>最高</w:t>
      </w:r>
      <w:r w:rsidR="000F4EB9">
        <w:t>可</w:t>
      </w:r>
      <w:r w:rsidR="000F4EB9">
        <w:rPr>
          <w:rFonts w:hint="eastAsia"/>
        </w:rPr>
        <w:t>每年</w:t>
      </w:r>
      <w:r w:rsidR="000F4EB9">
        <w:t>降低</w:t>
      </w:r>
      <w:r w:rsidR="000F4EB9">
        <w:rPr>
          <w:rFonts w:hint="eastAsia"/>
        </w:rPr>
        <w:t>104</w:t>
      </w:r>
      <w:r w:rsidR="000F4EB9">
        <w:rPr>
          <w:rFonts w:hint="eastAsia"/>
        </w:rPr>
        <w:t>万</w:t>
      </w:r>
      <w:r w:rsidR="000F4EB9">
        <w:t>吨</w:t>
      </w:r>
      <w:r w:rsidR="000F4EB9">
        <w:rPr>
          <w:rFonts w:hint="eastAsia"/>
        </w:rPr>
        <w:t>温室</w:t>
      </w:r>
      <w:r w:rsidR="000F4EB9">
        <w:t>气体排放</w:t>
      </w:r>
      <w:r w:rsidR="000F4EB9">
        <w:rPr>
          <w:rFonts w:hint="eastAsia"/>
        </w:rPr>
        <w:t>。</w:t>
      </w:r>
      <w:r w:rsidR="00574969">
        <w:rPr>
          <w:rStyle w:val="FootnoteReference"/>
          <w:rFonts w:ascii="仿宋" w:hAnsi="仿宋"/>
          <w:szCs w:val="32"/>
        </w:rPr>
        <w:footnoteReference w:id="10"/>
      </w:r>
    </w:p>
    <w:p w:rsidR="00C935A8" w:rsidRPr="00087EA9" w:rsidRDefault="009C5160" w:rsidP="009C5160">
      <w:pPr>
        <w:pStyle w:val="Heading2"/>
      </w:pPr>
      <w:r>
        <w:rPr>
          <w:rFonts w:hint="eastAsia"/>
        </w:rPr>
        <w:t>（</w:t>
      </w:r>
      <w:r w:rsidR="00D24EB0">
        <w:rPr>
          <w:rFonts w:hint="eastAsia"/>
        </w:rPr>
        <w:t>三</w:t>
      </w:r>
      <w:r>
        <w:t>）</w:t>
      </w:r>
      <w:r w:rsidR="00C935A8" w:rsidRPr="00087EA9">
        <w:rPr>
          <w:rFonts w:hint="eastAsia"/>
        </w:rPr>
        <w:t>与</w:t>
      </w:r>
      <w:r w:rsidR="00C935A8" w:rsidRPr="00087EA9">
        <w:t>私营部门紧密合作</w:t>
      </w:r>
    </w:p>
    <w:p w:rsidR="00D22D2D" w:rsidRDefault="009C5160" w:rsidP="002A10AD">
      <w:r>
        <w:rPr>
          <w:rFonts w:hint="eastAsia"/>
        </w:rPr>
        <w:t>仅</w:t>
      </w:r>
      <w:r>
        <w:t>依靠绿色银行</w:t>
      </w:r>
      <w:r>
        <w:rPr>
          <w:rFonts w:hint="eastAsia"/>
        </w:rPr>
        <w:t>的</w:t>
      </w:r>
      <w:r>
        <w:t>投资并不足以弥补各个国家和地区</w:t>
      </w:r>
      <w:r>
        <w:rPr>
          <w:rFonts w:hint="eastAsia"/>
        </w:rPr>
        <w:t>的</w:t>
      </w:r>
      <w:r>
        <w:t>绿色投资</w:t>
      </w:r>
      <w:r>
        <w:rPr>
          <w:rFonts w:hint="eastAsia"/>
        </w:rPr>
        <w:t>缺口</w:t>
      </w:r>
      <w:r w:rsidR="00C90E3E">
        <w:t>，</w:t>
      </w:r>
      <w:r w:rsidR="00C90E3E">
        <w:rPr>
          <w:rFonts w:hint="eastAsia"/>
        </w:rPr>
        <w:t>而</w:t>
      </w:r>
      <w:r>
        <w:rPr>
          <w:rFonts w:hint="eastAsia"/>
        </w:rPr>
        <w:t>需要</w:t>
      </w:r>
      <w:r w:rsidR="00BF7A80">
        <w:t>绿色银行与私营部门紧密合作</w:t>
      </w:r>
      <w:r w:rsidR="00BF7A80">
        <w:rPr>
          <w:rFonts w:hint="eastAsia"/>
        </w:rPr>
        <w:t>、</w:t>
      </w:r>
      <w:r>
        <w:t>吸引私营资本投资于绿色行业。</w:t>
      </w:r>
      <w:r w:rsidR="00D22D2D">
        <w:rPr>
          <w:rFonts w:hint="eastAsia"/>
        </w:rPr>
        <w:t>私营</w:t>
      </w:r>
      <w:r w:rsidR="00D22D2D">
        <w:t>资本在投资领域也积累了大量的经验</w:t>
      </w:r>
      <w:r w:rsidR="00D22D2D">
        <w:rPr>
          <w:rFonts w:hint="eastAsia"/>
        </w:rPr>
        <w:t>、</w:t>
      </w:r>
      <w:r w:rsidR="00D22D2D">
        <w:t>投资平台和人力资本，</w:t>
      </w:r>
      <w:r w:rsidR="00D22D2D">
        <w:rPr>
          <w:rFonts w:hint="eastAsia"/>
        </w:rPr>
        <w:t>这些</w:t>
      </w:r>
      <w:r w:rsidR="00D22D2D">
        <w:t>都可以为绿色银行</w:t>
      </w:r>
      <w:r w:rsidR="00D22D2D">
        <w:rPr>
          <w:rFonts w:hint="eastAsia"/>
        </w:rPr>
        <w:t>所用</w:t>
      </w:r>
      <w:r w:rsidR="00D22D2D">
        <w:t>。</w:t>
      </w:r>
      <w:r w:rsidR="00D22D2D">
        <w:rPr>
          <w:rFonts w:hint="eastAsia"/>
        </w:rPr>
        <w:t>在</w:t>
      </w:r>
      <w:r w:rsidR="00D22D2D">
        <w:t>未来，绿色银行</w:t>
      </w:r>
      <w:r w:rsidR="00D22D2D">
        <w:rPr>
          <w:rFonts w:hint="eastAsia"/>
        </w:rPr>
        <w:t>培养</w:t>
      </w:r>
      <w:r w:rsidR="00D22D2D">
        <w:t>出专业绿色信贷和绿色投资</w:t>
      </w:r>
      <w:r w:rsidR="00D22D2D">
        <w:rPr>
          <w:rFonts w:hint="eastAsia"/>
        </w:rPr>
        <w:t>人才</w:t>
      </w:r>
      <w:r w:rsidR="00D22D2D">
        <w:t>队伍</w:t>
      </w:r>
      <w:r w:rsidR="00C3205F">
        <w:rPr>
          <w:rFonts w:hint="eastAsia"/>
        </w:rPr>
        <w:t>后</w:t>
      </w:r>
      <w:r w:rsidR="00D22D2D">
        <w:t>，可以</w:t>
      </w:r>
      <w:r w:rsidR="00D22D2D">
        <w:rPr>
          <w:rFonts w:hint="eastAsia"/>
        </w:rPr>
        <w:t>考虑</w:t>
      </w:r>
      <w:r w:rsidR="00D22D2D">
        <w:t>帮助</w:t>
      </w:r>
      <w:r w:rsidR="00D22D2D">
        <w:rPr>
          <w:rFonts w:hint="eastAsia"/>
        </w:rPr>
        <w:t>私营</w:t>
      </w:r>
      <w:r w:rsidR="00D22D2D">
        <w:t>部门</w:t>
      </w:r>
      <w:r w:rsidR="00F24930">
        <w:rPr>
          <w:rFonts w:hint="eastAsia"/>
        </w:rPr>
        <w:t>（如养老基金</w:t>
      </w:r>
      <w:r w:rsidR="00F24930">
        <w:t>、对冲基金等）</w:t>
      </w:r>
      <w:r w:rsidR="00D22D2D">
        <w:t>管理</w:t>
      </w:r>
      <w:r w:rsidR="00D22D2D">
        <w:rPr>
          <w:rFonts w:hint="eastAsia"/>
        </w:rPr>
        <w:t>相应</w:t>
      </w:r>
      <w:r w:rsidR="00D22D2D">
        <w:t>的绿色资产或</w:t>
      </w:r>
      <w:r w:rsidR="00F24930">
        <w:rPr>
          <w:rFonts w:hint="eastAsia"/>
        </w:rPr>
        <w:t>进行</w:t>
      </w:r>
      <w:r w:rsidR="00F24930">
        <w:t>投资</w:t>
      </w:r>
      <w:r w:rsidR="00F24930">
        <w:rPr>
          <w:rFonts w:hint="eastAsia"/>
        </w:rPr>
        <w:t>。</w:t>
      </w:r>
    </w:p>
    <w:p w:rsidR="00292ECD" w:rsidRPr="00087EA9" w:rsidRDefault="00292ECD" w:rsidP="002A10AD">
      <w:r>
        <w:rPr>
          <w:rFonts w:hint="eastAsia"/>
        </w:rPr>
        <w:t>以英国</w:t>
      </w:r>
      <w:r>
        <w:t>为例，绿色投资银行</w:t>
      </w:r>
      <w:r>
        <w:rPr>
          <w:rFonts w:hint="eastAsia"/>
        </w:rPr>
        <w:t>在</w:t>
      </w:r>
      <w:r>
        <w:t>项目中</w:t>
      </w:r>
      <w:r>
        <w:rPr>
          <w:rFonts w:hint="eastAsia"/>
        </w:rPr>
        <w:t>每</w:t>
      </w:r>
      <w:r>
        <w:t>投资</w:t>
      </w:r>
      <w:r>
        <w:rPr>
          <w:rFonts w:hint="eastAsia"/>
        </w:rPr>
        <w:t>1</w:t>
      </w:r>
      <w:r w:rsidR="003E2602">
        <w:rPr>
          <w:rFonts w:hint="eastAsia"/>
        </w:rPr>
        <w:t>英镑</w:t>
      </w:r>
      <w:r>
        <w:t>就</w:t>
      </w:r>
      <w:r>
        <w:rPr>
          <w:rFonts w:hint="eastAsia"/>
        </w:rPr>
        <w:t>带动</w:t>
      </w:r>
      <w:r>
        <w:t>了</w:t>
      </w:r>
      <w:r>
        <w:rPr>
          <w:rFonts w:hint="eastAsia"/>
        </w:rPr>
        <w:t>3.</w:t>
      </w:r>
      <w:r>
        <w:t>7</w:t>
      </w:r>
      <w:r w:rsidR="003E2602">
        <w:rPr>
          <w:rFonts w:hint="eastAsia"/>
        </w:rPr>
        <w:t>英镑</w:t>
      </w:r>
      <w:r>
        <w:rPr>
          <w:rFonts w:hint="eastAsia"/>
        </w:rPr>
        <w:t>私营</w:t>
      </w:r>
      <w:r>
        <w:t>资本投资</w:t>
      </w:r>
      <w:r>
        <w:rPr>
          <w:rFonts w:hint="eastAsia"/>
        </w:rPr>
        <w:t>。</w:t>
      </w:r>
      <w:r>
        <w:t>在</w:t>
      </w:r>
      <w:r>
        <w:rPr>
          <w:rFonts w:hint="eastAsia"/>
        </w:rPr>
        <w:t>最开始</w:t>
      </w:r>
      <w:r>
        <w:t>运营的</w:t>
      </w:r>
      <w:r>
        <w:rPr>
          <w:rFonts w:hint="eastAsia"/>
        </w:rPr>
        <w:t>两年</w:t>
      </w:r>
      <w:r>
        <w:t>中（</w:t>
      </w:r>
      <w:r>
        <w:rPr>
          <w:rFonts w:hint="eastAsia"/>
        </w:rPr>
        <w:t>2012</w:t>
      </w:r>
      <w:r>
        <w:t>-2014</w:t>
      </w:r>
      <w:r>
        <w:rPr>
          <w:rFonts w:hint="eastAsia"/>
        </w:rPr>
        <w:t>年</w:t>
      </w:r>
      <w:r>
        <w:t>）</w:t>
      </w:r>
      <w:r>
        <w:rPr>
          <w:rFonts w:hint="eastAsia"/>
        </w:rPr>
        <w:t>，</w:t>
      </w:r>
      <w:r>
        <w:t>绿色投资银行一共投资了</w:t>
      </w:r>
      <w:r>
        <w:rPr>
          <w:rFonts w:hint="eastAsia"/>
        </w:rPr>
        <w:t>122</w:t>
      </w:r>
      <w:r>
        <w:rPr>
          <w:rFonts w:hint="eastAsia"/>
        </w:rPr>
        <w:t>亿元</w:t>
      </w:r>
      <w:r>
        <w:t>人民币（</w:t>
      </w:r>
      <w:r>
        <w:rPr>
          <w:rFonts w:hint="eastAsia"/>
        </w:rPr>
        <w:t>13</w:t>
      </w:r>
      <w:r>
        <w:rPr>
          <w:rFonts w:hint="eastAsia"/>
        </w:rPr>
        <w:t>亿英镑</w:t>
      </w:r>
      <w:r>
        <w:t>）</w:t>
      </w:r>
      <w:r>
        <w:rPr>
          <w:rFonts w:hint="eastAsia"/>
        </w:rPr>
        <w:t>，</w:t>
      </w:r>
      <w:r w:rsidR="0048074E">
        <w:rPr>
          <w:rFonts w:hint="eastAsia"/>
        </w:rPr>
        <w:t>但</w:t>
      </w:r>
      <w:r>
        <w:rPr>
          <w:rFonts w:hint="eastAsia"/>
        </w:rPr>
        <w:t>撬动</w:t>
      </w:r>
      <w:r>
        <w:lastRenderedPageBreak/>
        <w:t>了</w:t>
      </w:r>
      <w:r>
        <w:rPr>
          <w:rFonts w:hint="eastAsia"/>
        </w:rPr>
        <w:t>452</w:t>
      </w:r>
      <w:r>
        <w:rPr>
          <w:rFonts w:hint="eastAsia"/>
        </w:rPr>
        <w:t>亿元</w:t>
      </w:r>
      <w:r>
        <w:t>人民币（</w:t>
      </w:r>
      <w:r>
        <w:rPr>
          <w:rFonts w:hint="eastAsia"/>
        </w:rPr>
        <w:t>48</w:t>
      </w:r>
      <w:r>
        <w:rPr>
          <w:rFonts w:hint="eastAsia"/>
        </w:rPr>
        <w:t>亿</w:t>
      </w:r>
      <w:r>
        <w:t>英镑）</w:t>
      </w:r>
      <w:r>
        <w:rPr>
          <w:rFonts w:hint="eastAsia"/>
        </w:rPr>
        <w:t>的</w:t>
      </w:r>
      <w:r>
        <w:t>私人投资。</w:t>
      </w:r>
      <w:r w:rsidR="00F24930">
        <w:rPr>
          <w:rFonts w:hint="eastAsia"/>
        </w:rPr>
        <w:t>绿色</w:t>
      </w:r>
      <w:r w:rsidR="00F24930">
        <w:t>投资银行还</w:t>
      </w:r>
      <w:r w:rsidR="00F24930">
        <w:rPr>
          <w:rFonts w:hint="eastAsia"/>
        </w:rPr>
        <w:t>通过</w:t>
      </w:r>
      <w:r w:rsidR="00F24930">
        <w:t>5</w:t>
      </w:r>
      <w:r w:rsidR="00F24930">
        <w:t>家</w:t>
      </w:r>
      <w:r w:rsidR="00F24930">
        <w:rPr>
          <w:rFonts w:hint="eastAsia"/>
        </w:rPr>
        <w:t>私募</w:t>
      </w:r>
      <w:r w:rsidR="00F24930">
        <w:t>基金</w:t>
      </w:r>
      <w:r w:rsidR="00F24930">
        <w:rPr>
          <w:rFonts w:hint="eastAsia"/>
        </w:rPr>
        <w:t>投资</w:t>
      </w:r>
      <w:r w:rsidR="00F24930">
        <w:t>了多个节能项目，并</w:t>
      </w:r>
      <w:r w:rsidR="00F24930">
        <w:rPr>
          <w:rFonts w:hint="eastAsia"/>
        </w:rPr>
        <w:t>帮助</w:t>
      </w:r>
      <w:r w:rsidR="00F24930">
        <w:t>了</w:t>
      </w:r>
      <w:r w:rsidR="00F24930">
        <w:rPr>
          <w:rFonts w:hint="eastAsia"/>
        </w:rPr>
        <w:t>其中</w:t>
      </w:r>
      <w:r w:rsidR="00F24930">
        <w:t>一家</w:t>
      </w:r>
      <w:r w:rsidR="0048074E">
        <w:rPr>
          <w:rFonts w:hint="eastAsia"/>
        </w:rPr>
        <w:t>私募</w:t>
      </w:r>
      <w:r w:rsidR="0048074E">
        <w:t>基金</w:t>
      </w:r>
      <w:r w:rsidR="00F24930">
        <w:t>在伦敦证券交易所</w:t>
      </w:r>
      <w:r w:rsidR="00F24930">
        <w:rPr>
          <w:rFonts w:hint="eastAsia"/>
        </w:rPr>
        <w:t>首次</w:t>
      </w:r>
      <w:r w:rsidR="00F24930">
        <w:t>公开募股（</w:t>
      </w:r>
      <w:r w:rsidR="00F24930">
        <w:rPr>
          <w:rFonts w:hint="eastAsia"/>
        </w:rPr>
        <w:t>IPO</w:t>
      </w:r>
      <w:r w:rsidR="00F24930">
        <w:t>）</w:t>
      </w:r>
      <w:r w:rsidR="00F24930">
        <w:rPr>
          <w:rFonts w:hint="eastAsia"/>
        </w:rPr>
        <w:t>，</w:t>
      </w:r>
      <w:r w:rsidR="00F24930">
        <w:t>成了英国第一个</w:t>
      </w:r>
      <w:r w:rsidR="00F24930">
        <w:rPr>
          <w:rFonts w:hint="eastAsia"/>
        </w:rPr>
        <w:t>上市</w:t>
      </w:r>
      <w:r w:rsidR="00F24930">
        <w:t>的绿色基金。</w:t>
      </w:r>
      <w:r w:rsidR="00574969">
        <w:rPr>
          <w:rStyle w:val="FootnoteReference"/>
          <w:rFonts w:ascii="仿宋" w:hAnsi="仿宋"/>
          <w:szCs w:val="32"/>
        </w:rPr>
        <w:footnoteReference w:id="11"/>
      </w:r>
    </w:p>
    <w:p w:rsidR="004E5B5E" w:rsidRPr="00087EA9" w:rsidRDefault="009C5160" w:rsidP="009C5160">
      <w:pPr>
        <w:pStyle w:val="Heading2"/>
      </w:pPr>
      <w:r>
        <w:rPr>
          <w:rFonts w:hint="eastAsia"/>
        </w:rPr>
        <w:t>（</w:t>
      </w:r>
      <w:r w:rsidR="00D24EB0">
        <w:rPr>
          <w:rFonts w:hint="eastAsia"/>
        </w:rPr>
        <w:t>四</w:t>
      </w:r>
      <w:r>
        <w:t>）</w:t>
      </w:r>
      <w:r w:rsidR="004E5B5E" w:rsidRPr="00087EA9">
        <w:rPr>
          <w:rFonts w:hint="eastAsia"/>
        </w:rPr>
        <w:t>透明</w:t>
      </w:r>
      <w:r w:rsidR="004E5B5E" w:rsidRPr="00087EA9">
        <w:t>的信息公开机制</w:t>
      </w:r>
    </w:p>
    <w:p w:rsidR="00C20080" w:rsidRDefault="008703B2">
      <w:pPr>
        <w:rPr>
          <w:rFonts w:ascii="仿宋" w:hAnsi="仿宋"/>
          <w:szCs w:val="32"/>
        </w:rPr>
      </w:pPr>
      <w:r>
        <w:rPr>
          <w:rFonts w:ascii="仿宋" w:hAnsi="仿宋" w:hint="eastAsia"/>
          <w:szCs w:val="32"/>
        </w:rPr>
        <w:t>目前</w:t>
      </w:r>
      <w:r w:rsidR="007C56E5">
        <w:rPr>
          <w:rFonts w:ascii="仿宋" w:hAnsi="仿宋" w:hint="eastAsia"/>
          <w:szCs w:val="32"/>
        </w:rPr>
        <w:t>绿色</w:t>
      </w:r>
      <w:r w:rsidR="007C56E5">
        <w:rPr>
          <w:rFonts w:ascii="仿宋" w:hAnsi="仿宋"/>
          <w:szCs w:val="32"/>
        </w:rPr>
        <w:t>行业</w:t>
      </w:r>
      <w:r w:rsidR="007C56E5">
        <w:rPr>
          <w:rFonts w:ascii="仿宋" w:hAnsi="仿宋" w:hint="eastAsia"/>
          <w:szCs w:val="32"/>
        </w:rPr>
        <w:t>融资</w:t>
      </w:r>
      <w:r w:rsidR="007C56E5">
        <w:rPr>
          <w:rFonts w:ascii="仿宋" w:hAnsi="仿宋"/>
          <w:szCs w:val="32"/>
        </w:rPr>
        <w:t>所面临的问题之一</w:t>
      </w:r>
      <w:r w:rsidR="007C56E5">
        <w:rPr>
          <w:rFonts w:ascii="仿宋" w:hAnsi="仿宋" w:hint="eastAsia"/>
          <w:szCs w:val="32"/>
        </w:rPr>
        <w:t>是</w:t>
      </w:r>
      <w:r w:rsidR="0048074E">
        <w:rPr>
          <w:rFonts w:ascii="仿宋" w:hAnsi="仿宋" w:hint="eastAsia"/>
          <w:szCs w:val="32"/>
        </w:rPr>
        <w:t>绿色</w:t>
      </w:r>
      <w:r w:rsidR="0048074E">
        <w:rPr>
          <w:rFonts w:ascii="仿宋" w:hAnsi="仿宋"/>
          <w:szCs w:val="32"/>
        </w:rPr>
        <w:t>项目</w:t>
      </w:r>
      <w:r w:rsidR="007C56E5">
        <w:rPr>
          <w:rFonts w:ascii="仿宋" w:hAnsi="仿宋"/>
          <w:szCs w:val="32"/>
        </w:rPr>
        <w:t>信息不足</w:t>
      </w:r>
      <w:r w:rsidR="0048074E">
        <w:rPr>
          <w:rFonts w:ascii="仿宋" w:hAnsi="仿宋" w:hint="eastAsia"/>
          <w:szCs w:val="32"/>
        </w:rPr>
        <w:t>，</w:t>
      </w:r>
      <w:r w:rsidR="007C56E5">
        <w:rPr>
          <w:rFonts w:ascii="仿宋" w:hAnsi="仿宋"/>
          <w:szCs w:val="32"/>
        </w:rPr>
        <w:t>投资者</w:t>
      </w:r>
      <w:r w:rsidR="007C56E5">
        <w:rPr>
          <w:rFonts w:ascii="仿宋" w:hAnsi="仿宋" w:hint="eastAsia"/>
          <w:szCs w:val="32"/>
        </w:rPr>
        <w:t>没有</w:t>
      </w:r>
      <w:r w:rsidR="007C56E5" w:rsidRPr="00087EA9">
        <w:rPr>
          <w:rFonts w:ascii="仿宋" w:hAnsi="仿宋" w:hint="eastAsia"/>
          <w:szCs w:val="32"/>
        </w:rPr>
        <w:t>投资</w:t>
      </w:r>
      <w:r w:rsidR="007C56E5" w:rsidRPr="00087EA9">
        <w:rPr>
          <w:rFonts w:ascii="仿宋" w:hAnsi="仿宋"/>
          <w:szCs w:val="32"/>
        </w:rPr>
        <w:t>先例和</w:t>
      </w:r>
      <w:r w:rsidR="007C56E5" w:rsidRPr="00087EA9">
        <w:rPr>
          <w:rFonts w:ascii="仿宋" w:hAnsi="仿宋" w:hint="eastAsia"/>
          <w:szCs w:val="32"/>
        </w:rPr>
        <w:t>一定</w:t>
      </w:r>
      <w:r w:rsidR="007C56E5">
        <w:rPr>
          <w:rFonts w:ascii="仿宋" w:hAnsi="仿宋" w:hint="eastAsia"/>
          <w:szCs w:val="32"/>
        </w:rPr>
        <w:t>时间</w:t>
      </w:r>
      <w:r w:rsidR="007C56E5">
        <w:rPr>
          <w:rFonts w:ascii="仿宋" w:hAnsi="仿宋"/>
          <w:szCs w:val="32"/>
        </w:rPr>
        <w:t>长度</w:t>
      </w:r>
      <w:r w:rsidR="007C56E5" w:rsidRPr="00087EA9">
        <w:rPr>
          <w:rFonts w:ascii="仿宋" w:hAnsi="仿宋"/>
          <w:szCs w:val="32"/>
        </w:rPr>
        <w:t>的</w:t>
      </w:r>
      <w:r w:rsidR="002D1B1C">
        <w:rPr>
          <w:rFonts w:ascii="仿宋" w:hAnsi="仿宋" w:hint="eastAsia"/>
          <w:szCs w:val="32"/>
        </w:rPr>
        <w:t>项目</w:t>
      </w:r>
      <w:r w:rsidR="007C56E5" w:rsidRPr="00087EA9">
        <w:rPr>
          <w:rFonts w:ascii="仿宋" w:hAnsi="仿宋"/>
          <w:szCs w:val="32"/>
        </w:rPr>
        <w:t>绩效记录</w:t>
      </w:r>
      <w:r w:rsidR="007C56E5">
        <w:rPr>
          <w:rFonts w:ascii="仿宋" w:hAnsi="仿宋" w:hint="eastAsia"/>
          <w:szCs w:val="32"/>
        </w:rPr>
        <w:t>作为</w:t>
      </w:r>
      <w:r w:rsidR="007C56E5">
        <w:rPr>
          <w:rFonts w:ascii="仿宋" w:hAnsi="仿宋"/>
          <w:szCs w:val="32"/>
        </w:rPr>
        <w:t>投资参考，</w:t>
      </w:r>
      <w:r w:rsidR="007C56E5" w:rsidRPr="00087EA9">
        <w:rPr>
          <w:rFonts w:ascii="仿宋" w:hAnsi="仿宋" w:hint="eastAsia"/>
          <w:szCs w:val="32"/>
        </w:rPr>
        <w:t>由此</w:t>
      </w:r>
      <w:r w:rsidR="007C56E5" w:rsidRPr="00087EA9">
        <w:rPr>
          <w:rFonts w:ascii="仿宋" w:hAnsi="仿宋"/>
          <w:szCs w:val="32"/>
        </w:rPr>
        <w:t>产生了</w:t>
      </w:r>
      <w:r w:rsidR="002D1B1C">
        <w:rPr>
          <w:rFonts w:ascii="仿宋" w:hAnsi="仿宋" w:hint="eastAsia"/>
          <w:szCs w:val="32"/>
        </w:rPr>
        <w:t>多种</w:t>
      </w:r>
      <w:r w:rsidR="007C56E5" w:rsidRPr="00087EA9">
        <w:rPr>
          <w:rFonts w:ascii="仿宋" w:hAnsi="仿宋" w:hint="eastAsia"/>
          <w:szCs w:val="32"/>
        </w:rPr>
        <w:t>不确定性</w:t>
      </w:r>
      <w:r w:rsidR="0048074E">
        <w:rPr>
          <w:rFonts w:ascii="仿宋" w:hAnsi="仿宋" w:hint="eastAsia"/>
          <w:szCs w:val="32"/>
        </w:rPr>
        <w:t>。例如</w:t>
      </w:r>
      <w:r w:rsidR="0048074E">
        <w:rPr>
          <w:rFonts w:ascii="仿宋" w:hAnsi="仿宋"/>
          <w:szCs w:val="32"/>
        </w:rPr>
        <w:t>，</w:t>
      </w:r>
      <w:r w:rsidR="007C56E5" w:rsidRPr="00087EA9">
        <w:rPr>
          <w:rFonts w:ascii="仿宋" w:hAnsi="仿宋"/>
          <w:szCs w:val="32"/>
        </w:rPr>
        <w:t>项目建设成本、技术可靠性</w:t>
      </w:r>
      <w:r w:rsidR="007C56E5" w:rsidRPr="00087EA9">
        <w:rPr>
          <w:rFonts w:ascii="仿宋" w:hAnsi="仿宋" w:hint="eastAsia"/>
          <w:szCs w:val="32"/>
        </w:rPr>
        <w:t>和</w:t>
      </w:r>
      <w:r w:rsidR="007C56E5" w:rsidRPr="00087EA9">
        <w:rPr>
          <w:rFonts w:ascii="仿宋" w:hAnsi="仿宋"/>
          <w:szCs w:val="32"/>
        </w:rPr>
        <w:t>政策不确定性等</w:t>
      </w:r>
      <w:r w:rsidR="007C56E5">
        <w:rPr>
          <w:rFonts w:ascii="仿宋" w:hAnsi="仿宋" w:hint="eastAsia"/>
          <w:szCs w:val="32"/>
        </w:rPr>
        <w:t>。整体而言</w:t>
      </w:r>
      <w:r w:rsidR="007C56E5">
        <w:rPr>
          <w:rFonts w:ascii="仿宋" w:hAnsi="仿宋"/>
          <w:szCs w:val="32"/>
        </w:rPr>
        <w:t>，投资者不愿意承担过多的风险，而导致绿色行业的投资不足。</w:t>
      </w:r>
    </w:p>
    <w:p w:rsidR="00494143" w:rsidRPr="00087EA9" w:rsidRDefault="00C20080">
      <w:pPr>
        <w:rPr>
          <w:rFonts w:ascii="仿宋" w:hAnsi="仿宋"/>
          <w:szCs w:val="32"/>
        </w:rPr>
      </w:pPr>
      <w:r>
        <w:rPr>
          <w:rFonts w:ascii="仿宋" w:hAnsi="仿宋"/>
          <w:szCs w:val="32"/>
        </w:rPr>
        <w:t>绿色银行</w:t>
      </w:r>
      <w:r w:rsidR="003820AE">
        <w:rPr>
          <w:rFonts w:ascii="仿宋" w:hAnsi="仿宋" w:hint="eastAsia"/>
          <w:szCs w:val="32"/>
        </w:rPr>
        <w:t>通过</w:t>
      </w:r>
      <w:r>
        <w:rPr>
          <w:rFonts w:ascii="仿宋" w:hAnsi="仿宋"/>
          <w:szCs w:val="32"/>
        </w:rPr>
        <w:t>建立透明的信息公开机制</w:t>
      </w:r>
      <w:r>
        <w:rPr>
          <w:rFonts w:ascii="仿宋" w:hAnsi="仿宋" w:hint="eastAsia"/>
          <w:szCs w:val="32"/>
        </w:rPr>
        <w:t>、</w:t>
      </w:r>
      <w:r>
        <w:rPr>
          <w:rFonts w:ascii="仿宋" w:hAnsi="仿宋"/>
          <w:szCs w:val="32"/>
        </w:rPr>
        <w:t>分享</w:t>
      </w:r>
      <w:r>
        <w:rPr>
          <w:rFonts w:ascii="仿宋" w:hAnsi="仿宋" w:hint="eastAsia"/>
          <w:szCs w:val="32"/>
        </w:rPr>
        <w:t>项目</w:t>
      </w:r>
      <w:r>
        <w:rPr>
          <w:rFonts w:ascii="仿宋" w:hAnsi="仿宋"/>
          <w:szCs w:val="32"/>
        </w:rPr>
        <w:t>加总或匿名数据</w:t>
      </w:r>
      <w:r>
        <w:rPr>
          <w:rFonts w:ascii="仿宋" w:hAnsi="仿宋" w:hint="eastAsia"/>
          <w:szCs w:val="32"/>
        </w:rPr>
        <w:t>、</w:t>
      </w:r>
      <w:r>
        <w:rPr>
          <w:rFonts w:ascii="仿宋" w:hAnsi="仿宋"/>
          <w:szCs w:val="32"/>
        </w:rPr>
        <w:t>开发行业准则</w:t>
      </w:r>
      <w:r>
        <w:rPr>
          <w:rFonts w:ascii="仿宋" w:hAnsi="仿宋" w:hint="eastAsia"/>
          <w:szCs w:val="32"/>
        </w:rPr>
        <w:t>等</w:t>
      </w:r>
      <w:r w:rsidR="002F163E">
        <w:rPr>
          <w:rFonts w:ascii="仿宋" w:hAnsi="仿宋"/>
          <w:szCs w:val="32"/>
        </w:rPr>
        <w:t>，</w:t>
      </w:r>
      <w:r>
        <w:rPr>
          <w:rFonts w:ascii="仿宋" w:hAnsi="仿宋"/>
          <w:szCs w:val="32"/>
        </w:rPr>
        <w:t>增加</w:t>
      </w:r>
      <w:r>
        <w:rPr>
          <w:rFonts w:ascii="仿宋" w:hAnsi="仿宋" w:hint="eastAsia"/>
          <w:szCs w:val="32"/>
        </w:rPr>
        <w:t>行业</w:t>
      </w:r>
      <w:r>
        <w:rPr>
          <w:rFonts w:ascii="仿宋" w:hAnsi="仿宋"/>
          <w:szCs w:val="32"/>
        </w:rPr>
        <w:t>透明度和投资者信心。行业透明度</w:t>
      </w:r>
      <w:r w:rsidR="002F163E">
        <w:rPr>
          <w:rFonts w:ascii="仿宋" w:hAnsi="仿宋" w:hint="eastAsia"/>
          <w:szCs w:val="32"/>
        </w:rPr>
        <w:t>可以</w:t>
      </w:r>
      <w:r>
        <w:rPr>
          <w:rFonts w:ascii="仿宋" w:hAnsi="仿宋"/>
          <w:szCs w:val="32"/>
        </w:rPr>
        <w:t>帮助私营部门理解新的资产类别</w:t>
      </w:r>
      <w:r>
        <w:rPr>
          <w:rFonts w:ascii="仿宋" w:hAnsi="仿宋" w:hint="eastAsia"/>
          <w:szCs w:val="32"/>
        </w:rPr>
        <w:t>，鼓励</w:t>
      </w:r>
      <w:r>
        <w:rPr>
          <w:rFonts w:ascii="仿宋" w:hAnsi="仿宋"/>
          <w:szCs w:val="32"/>
        </w:rPr>
        <w:t>他们对绿色项目投资。私营</w:t>
      </w:r>
      <w:r>
        <w:rPr>
          <w:rFonts w:ascii="仿宋" w:hAnsi="仿宋" w:hint="eastAsia"/>
          <w:szCs w:val="32"/>
        </w:rPr>
        <w:t>部门</w:t>
      </w:r>
      <w:r>
        <w:rPr>
          <w:rFonts w:ascii="仿宋" w:hAnsi="仿宋"/>
          <w:szCs w:val="32"/>
        </w:rPr>
        <w:t>对</w:t>
      </w:r>
      <w:r>
        <w:rPr>
          <w:rFonts w:ascii="仿宋" w:hAnsi="仿宋" w:hint="eastAsia"/>
          <w:szCs w:val="32"/>
        </w:rPr>
        <w:t>绿色</w:t>
      </w:r>
      <w:r>
        <w:rPr>
          <w:rFonts w:ascii="仿宋" w:hAnsi="仿宋"/>
          <w:szCs w:val="32"/>
        </w:rPr>
        <w:t>行业的理解越深</w:t>
      </w:r>
      <w:r>
        <w:rPr>
          <w:rFonts w:ascii="仿宋" w:hAnsi="仿宋" w:hint="eastAsia"/>
          <w:szCs w:val="32"/>
        </w:rPr>
        <w:t>，也将使得</w:t>
      </w:r>
      <w:r>
        <w:rPr>
          <w:rFonts w:ascii="仿宋" w:hAnsi="仿宋"/>
          <w:szCs w:val="32"/>
        </w:rPr>
        <w:t>清洁能源项目融资</w:t>
      </w:r>
      <w:r>
        <w:rPr>
          <w:rFonts w:ascii="仿宋" w:hAnsi="仿宋" w:hint="eastAsia"/>
          <w:szCs w:val="32"/>
        </w:rPr>
        <w:t>的</w:t>
      </w:r>
      <w:r>
        <w:rPr>
          <w:rFonts w:ascii="仿宋" w:hAnsi="仿宋"/>
          <w:szCs w:val="32"/>
        </w:rPr>
        <w:t>定价</w:t>
      </w:r>
      <w:r w:rsidR="00D24EB0">
        <w:rPr>
          <w:rFonts w:ascii="仿宋" w:hAnsi="仿宋" w:hint="eastAsia"/>
          <w:szCs w:val="32"/>
        </w:rPr>
        <w:t>更</w:t>
      </w:r>
      <w:r w:rsidR="004574D2">
        <w:rPr>
          <w:rFonts w:ascii="仿宋" w:hAnsi="仿宋"/>
          <w:szCs w:val="32"/>
        </w:rPr>
        <w:t>准确</w:t>
      </w:r>
      <w:r w:rsidR="004574D2">
        <w:rPr>
          <w:rFonts w:ascii="仿宋" w:hAnsi="仿宋" w:hint="eastAsia"/>
          <w:szCs w:val="32"/>
        </w:rPr>
        <w:t>，</w:t>
      </w:r>
      <w:r w:rsidR="00C3205F">
        <w:rPr>
          <w:rFonts w:ascii="仿宋" w:hAnsi="仿宋" w:hint="eastAsia"/>
          <w:szCs w:val="32"/>
        </w:rPr>
        <w:t>并</w:t>
      </w:r>
      <w:r w:rsidR="0048074E">
        <w:rPr>
          <w:rFonts w:ascii="仿宋" w:hAnsi="仿宋"/>
          <w:szCs w:val="32"/>
        </w:rPr>
        <w:t>有效降低</w:t>
      </w:r>
      <w:r w:rsidR="00D24EB0">
        <w:rPr>
          <w:rFonts w:ascii="仿宋" w:hAnsi="仿宋"/>
          <w:szCs w:val="32"/>
        </w:rPr>
        <w:t>技术的平准</w:t>
      </w:r>
      <w:r w:rsidR="00D24EB0">
        <w:rPr>
          <w:rFonts w:ascii="仿宋" w:hAnsi="仿宋" w:hint="eastAsia"/>
          <w:szCs w:val="32"/>
        </w:rPr>
        <w:t>化</w:t>
      </w:r>
      <w:r w:rsidR="00D24EB0">
        <w:rPr>
          <w:rFonts w:ascii="仿宋" w:hAnsi="仿宋"/>
          <w:szCs w:val="32"/>
        </w:rPr>
        <w:t>能源成本。</w:t>
      </w:r>
    </w:p>
    <w:p w:rsidR="00CD730B" w:rsidRPr="00087EA9" w:rsidRDefault="00D24EB0" w:rsidP="00D24EB0">
      <w:pPr>
        <w:pStyle w:val="Heading1"/>
      </w:pPr>
      <w:r>
        <w:rPr>
          <w:rFonts w:hint="eastAsia"/>
        </w:rPr>
        <w:t>四、</w:t>
      </w:r>
      <w:r w:rsidR="00CD730B" w:rsidRPr="00087EA9">
        <w:rPr>
          <w:rFonts w:hint="eastAsia"/>
        </w:rPr>
        <w:t>目标行业</w:t>
      </w:r>
    </w:p>
    <w:p w:rsidR="00D24EB0" w:rsidRDefault="00B4044F">
      <w:pPr>
        <w:rPr>
          <w:rFonts w:ascii="仿宋" w:hAnsi="仿宋"/>
          <w:szCs w:val="32"/>
        </w:rPr>
      </w:pPr>
      <w:r>
        <w:rPr>
          <w:rFonts w:ascii="仿宋" w:hAnsi="仿宋" w:hint="eastAsia"/>
          <w:szCs w:val="32"/>
        </w:rPr>
        <w:t>各个</w:t>
      </w:r>
      <w:r>
        <w:rPr>
          <w:rFonts w:ascii="仿宋" w:hAnsi="仿宋"/>
          <w:szCs w:val="32"/>
        </w:rPr>
        <w:t>国家和地区设立绿色银行</w:t>
      </w:r>
      <w:r w:rsidR="0048074E">
        <w:rPr>
          <w:rFonts w:ascii="仿宋" w:hAnsi="仿宋" w:hint="eastAsia"/>
          <w:szCs w:val="32"/>
        </w:rPr>
        <w:t>的</w:t>
      </w:r>
      <w:r>
        <w:rPr>
          <w:rFonts w:ascii="仿宋" w:hAnsi="仿宋" w:hint="eastAsia"/>
          <w:szCs w:val="32"/>
        </w:rPr>
        <w:t>宏观目标</w:t>
      </w:r>
      <w:r>
        <w:rPr>
          <w:rFonts w:ascii="仿宋" w:hAnsi="仿宋"/>
          <w:szCs w:val="32"/>
        </w:rPr>
        <w:t>都较为类似，即促进本国或</w:t>
      </w:r>
      <w:r w:rsidR="0048074E">
        <w:rPr>
          <w:rFonts w:ascii="仿宋" w:hAnsi="仿宋" w:hint="eastAsia"/>
          <w:szCs w:val="32"/>
        </w:rPr>
        <w:t>本</w:t>
      </w:r>
      <w:r>
        <w:rPr>
          <w:rFonts w:ascii="仿宋" w:hAnsi="仿宋"/>
          <w:szCs w:val="32"/>
        </w:rPr>
        <w:t>地区的绿色经济发展、撬动</w:t>
      </w:r>
      <w:r>
        <w:rPr>
          <w:rFonts w:ascii="仿宋" w:hAnsi="仿宋" w:hint="eastAsia"/>
          <w:szCs w:val="32"/>
        </w:rPr>
        <w:t>私营</w:t>
      </w:r>
      <w:r>
        <w:rPr>
          <w:rFonts w:ascii="仿宋" w:hAnsi="仿宋"/>
          <w:szCs w:val="32"/>
        </w:rPr>
        <w:t>资本投资于绿色行业。</w:t>
      </w:r>
      <w:r>
        <w:rPr>
          <w:rFonts w:ascii="仿宋" w:hAnsi="仿宋" w:hint="eastAsia"/>
          <w:szCs w:val="32"/>
        </w:rPr>
        <w:t>但是每个国家</w:t>
      </w:r>
      <w:r>
        <w:rPr>
          <w:rFonts w:ascii="仿宋" w:hAnsi="仿宋"/>
          <w:szCs w:val="32"/>
        </w:rPr>
        <w:t>和地区的资源禀赋不同</w:t>
      </w:r>
      <w:r>
        <w:rPr>
          <w:rFonts w:ascii="仿宋" w:hAnsi="仿宋" w:hint="eastAsia"/>
          <w:szCs w:val="32"/>
        </w:rPr>
        <w:t>、</w:t>
      </w:r>
      <w:r w:rsidR="002B3678">
        <w:rPr>
          <w:rFonts w:ascii="仿宋" w:hAnsi="仿宋" w:hint="eastAsia"/>
          <w:szCs w:val="32"/>
        </w:rPr>
        <w:t>微观</w:t>
      </w:r>
      <w:r w:rsidR="002B3678">
        <w:rPr>
          <w:rFonts w:ascii="仿宋" w:hAnsi="仿宋"/>
          <w:szCs w:val="32"/>
        </w:rPr>
        <w:t>目标</w:t>
      </w:r>
      <w:r w:rsidR="0048074E">
        <w:rPr>
          <w:rFonts w:ascii="仿宋" w:hAnsi="仿宋" w:hint="eastAsia"/>
          <w:szCs w:val="32"/>
        </w:rPr>
        <w:t>不同</w:t>
      </w:r>
      <w:r>
        <w:rPr>
          <w:rFonts w:ascii="仿宋" w:hAnsi="仿宋"/>
          <w:szCs w:val="32"/>
        </w:rPr>
        <w:t>，会</w:t>
      </w:r>
      <w:r>
        <w:rPr>
          <w:rFonts w:ascii="仿宋" w:hAnsi="仿宋" w:hint="eastAsia"/>
          <w:szCs w:val="32"/>
        </w:rPr>
        <w:t>使得</w:t>
      </w:r>
      <w:r>
        <w:rPr>
          <w:rFonts w:ascii="仿宋" w:hAnsi="仿宋"/>
          <w:szCs w:val="32"/>
        </w:rPr>
        <w:t>绿色银行投资的</w:t>
      </w:r>
      <w:r>
        <w:rPr>
          <w:rFonts w:ascii="仿宋" w:hAnsi="仿宋" w:hint="eastAsia"/>
          <w:szCs w:val="32"/>
        </w:rPr>
        <w:t>行</w:t>
      </w:r>
      <w:r>
        <w:rPr>
          <w:rFonts w:ascii="仿宋" w:hAnsi="仿宋"/>
          <w:szCs w:val="32"/>
        </w:rPr>
        <w:t>业</w:t>
      </w:r>
      <w:r>
        <w:rPr>
          <w:rFonts w:ascii="仿宋" w:hAnsi="仿宋" w:hint="eastAsia"/>
          <w:szCs w:val="32"/>
        </w:rPr>
        <w:t>有所</w:t>
      </w:r>
      <w:r>
        <w:rPr>
          <w:rFonts w:ascii="仿宋" w:hAnsi="仿宋"/>
          <w:szCs w:val="32"/>
        </w:rPr>
        <w:t>差别。</w:t>
      </w:r>
      <w:r w:rsidR="002B3678">
        <w:rPr>
          <w:rFonts w:ascii="仿宋" w:hAnsi="仿宋" w:hint="eastAsia"/>
          <w:szCs w:val="32"/>
        </w:rPr>
        <w:t>例如</w:t>
      </w:r>
      <w:r w:rsidR="002B3678">
        <w:rPr>
          <w:rFonts w:ascii="仿宋" w:hAnsi="仿宋"/>
          <w:szCs w:val="32"/>
        </w:rPr>
        <w:t>，英国</w:t>
      </w:r>
      <w:r w:rsidR="002B3678">
        <w:rPr>
          <w:rFonts w:ascii="仿宋" w:hAnsi="仿宋" w:hint="eastAsia"/>
          <w:szCs w:val="32"/>
        </w:rPr>
        <w:t>的</w:t>
      </w:r>
      <w:r w:rsidR="002B3678">
        <w:rPr>
          <w:rFonts w:ascii="仿宋" w:hAnsi="仿宋"/>
          <w:szCs w:val="32"/>
        </w:rPr>
        <w:t>陆地</w:t>
      </w:r>
      <w:r w:rsidR="002B3678">
        <w:rPr>
          <w:rFonts w:ascii="仿宋" w:hAnsi="仿宋" w:hint="eastAsia"/>
          <w:szCs w:val="32"/>
        </w:rPr>
        <w:t>面积</w:t>
      </w:r>
      <w:r w:rsidR="002B3678">
        <w:rPr>
          <w:rFonts w:ascii="仿宋" w:hAnsi="仿宋"/>
          <w:szCs w:val="32"/>
        </w:rPr>
        <w:t>较小，</w:t>
      </w:r>
      <w:r w:rsidR="002B3678">
        <w:rPr>
          <w:rFonts w:ascii="仿宋" w:hAnsi="仿宋" w:hint="eastAsia"/>
          <w:szCs w:val="32"/>
        </w:rPr>
        <w:t>不适</w:t>
      </w:r>
      <w:r w:rsidR="002B3678">
        <w:rPr>
          <w:rFonts w:ascii="仿宋" w:hAnsi="仿宋" w:hint="eastAsia"/>
          <w:szCs w:val="32"/>
        </w:rPr>
        <w:lastRenderedPageBreak/>
        <w:t>宜</w:t>
      </w:r>
      <w:r w:rsidR="002B3678">
        <w:rPr>
          <w:rFonts w:ascii="仿宋" w:hAnsi="仿宋"/>
          <w:szCs w:val="32"/>
        </w:rPr>
        <w:t>发展大规模的太阳能电站</w:t>
      </w:r>
      <w:r w:rsidR="002B3678">
        <w:rPr>
          <w:rFonts w:ascii="仿宋" w:hAnsi="仿宋" w:hint="eastAsia"/>
          <w:szCs w:val="32"/>
        </w:rPr>
        <w:t>，</w:t>
      </w:r>
      <w:r w:rsidR="0048074E">
        <w:rPr>
          <w:rFonts w:ascii="仿宋" w:hAnsi="仿宋" w:hint="eastAsia"/>
          <w:szCs w:val="32"/>
        </w:rPr>
        <w:t>但</w:t>
      </w:r>
      <w:r w:rsidR="002B3678">
        <w:rPr>
          <w:rFonts w:ascii="仿宋" w:hAnsi="仿宋" w:hint="eastAsia"/>
          <w:szCs w:val="32"/>
        </w:rPr>
        <w:t>其</w:t>
      </w:r>
      <w:r w:rsidR="002B3678">
        <w:rPr>
          <w:rFonts w:ascii="仿宋" w:hAnsi="仿宋"/>
          <w:szCs w:val="32"/>
        </w:rPr>
        <w:t>狭长的海岸线却</w:t>
      </w:r>
      <w:r w:rsidR="002B3678">
        <w:rPr>
          <w:rFonts w:ascii="仿宋" w:hAnsi="仿宋" w:hint="eastAsia"/>
          <w:szCs w:val="32"/>
        </w:rPr>
        <w:t>适宜</w:t>
      </w:r>
      <w:r w:rsidR="002B3678">
        <w:rPr>
          <w:rFonts w:ascii="仿宋" w:hAnsi="仿宋"/>
          <w:szCs w:val="32"/>
        </w:rPr>
        <w:t>发展</w:t>
      </w:r>
      <w:r w:rsidR="002B3678">
        <w:rPr>
          <w:rFonts w:ascii="仿宋" w:hAnsi="仿宋" w:hint="eastAsia"/>
          <w:szCs w:val="32"/>
        </w:rPr>
        <w:t>海上</w:t>
      </w:r>
      <w:r w:rsidR="002B3678">
        <w:rPr>
          <w:rFonts w:ascii="仿宋" w:hAnsi="仿宋"/>
          <w:szCs w:val="32"/>
        </w:rPr>
        <w:t>风能项目</w:t>
      </w:r>
      <w:r w:rsidR="002B3678">
        <w:rPr>
          <w:rFonts w:ascii="仿宋" w:hAnsi="仿宋" w:hint="eastAsia"/>
          <w:szCs w:val="32"/>
        </w:rPr>
        <w:t>。</w:t>
      </w:r>
      <w:r w:rsidR="002B3678">
        <w:rPr>
          <w:rFonts w:ascii="仿宋" w:hAnsi="仿宋"/>
          <w:szCs w:val="32"/>
        </w:rPr>
        <w:t>因此</w:t>
      </w:r>
      <w:r w:rsidR="002B3678">
        <w:rPr>
          <w:rFonts w:ascii="仿宋" w:hAnsi="仿宋" w:hint="eastAsia"/>
          <w:szCs w:val="32"/>
        </w:rPr>
        <w:t>，</w:t>
      </w:r>
      <w:r w:rsidR="002B3678">
        <w:rPr>
          <w:rFonts w:ascii="仿宋" w:hAnsi="仿宋"/>
          <w:szCs w:val="32"/>
        </w:rPr>
        <w:t>英国绿色投资银行</w:t>
      </w:r>
      <w:r w:rsidR="002B3678">
        <w:rPr>
          <w:rFonts w:ascii="仿宋" w:hAnsi="仿宋" w:hint="eastAsia"/>
          <w:szCs w:val="32"/>
        </w:rPr>
        <w:t>将</w:t>
      </w:r>
      <w:r w:rsidR="002B3678">
        <w:rPr>
          <w:rFonts w:ascii="仿宋" w:hAnsi="仿宋"/>
          <w:szCs w:val="32"/>
        </w:rPr>
        <w:t>海上风能作为重点投资领域。</w:t>
      </w:r>
    </w:p>
    <w:p w:rsidR="002B3678" w:rsidRDefault="002B3678">
      <w:pPr>
        <w:rPr>
          <w:rFonts w:ascii="仿宋" w:hAnsi="仿宋"/>
          <w:szCs w:val="32"/>
        </w:rPr>
      </w:pPr>
      <w:r>
        <w:rPr>
          <w:rFonts w:ascii="仿宋" w:hAnsi="仿宋" w:hint="eastAsia"/>
          <w:szCs w:val="32"/>
        </w:rPr>
        <w:t>下表</w:t>
      </w:r>
      <w:r>
        <w:rPr>
          <w:rFonts w:ascii="仿宋" w:hAnsi="仿宋"/>
          <w:szCs w:val="32"/>
        </w:rPr>
        <w:t>将列举出各家绿色银行投资的目标行业。</w:t>
      </w:r>
    </w:p>
    <w:tbl>
      <w:tblPr>
        <w:tblStyle w:val="TableGrid"/>
        <w:tblW w:w="0" w:type="auto"/>
        <w:tblLook w:val="04A0" w:firstRow="1" w:lastRow="0" w:firstColumn="1" w:lastColumn="0" w:noHBand="0" w:noVBand="1"/>
      </w:tblPr>
      <w:tblGrid>
        <w:gridCol w:w="4621"/>
        <w:gridCol w:w="4622"/>
      </w:tblGrid>
      <w:tr w:rsidR="00B65CEF" w:rsidTr="00B65CEF">
        <w:tc>
          <w:tcPr>
            <w:tcW w:w="4621" w:type="dxa"/>
            <w:vAlign w:val="center"/>
          </w:tcPr>
          <w:p w:rsidR="00B65CEF" w:rsidRDefault="00B65CEF" w:rsidP="002B0DCA">
            <w:pPr>
              <w:spacing w:line="240" w:lineRule="auto"/>
              <w:ind w:firstLine="0"/>
              <w:jc w:val="center"/>
              <w:rPr>
                <w:rFonts w:ascii="仿宋" w:hAnsi="仿宋"/>
                <w:szCs w:val="32"/>
              </w:rPr>
            </w:pPr>
            <w:r>
              <w:rPr>
                <w:rFonts w:ascii="仿宋" w:hAnsi="仿宋" w:hint="eastAsia"/>
                <w:szCs w:val="32"/>
              </w:rPr>
              <w:t>银行</w:t>
            </w:r>
          </w:p>
        </w:tc>
        <w:tc>
          <w:tcPr>
            <w:tcW w:w="4622" w:type="dxa"/>
            <w:vAlign w:val="center"/>
          </w:tcPr>
          <w:p w:rsidR="00B65CEF" w:rsidRPr="00B65CEF" w:rsidRDefault="00B65CEF" w:rsidP="002B0DCA">
            <w:pPr>
              <w:spacing w:line="240" w:lineRule="auto"/>
              <w:ind w:firstLine="0"/>
              <w:jc w:val="center"/>
              <w:rPr>
                <w:rFonts w:ascii="仿宋" w:hAnsi="仿宋"/>
                <w:szCs w:val="32"/>
              </w:rPr>
            </w:pPr>
            <w:r>
              <w:rPr>
                <w:rFonts w:ascii="仿宋" w:hAnsi="仿宋" w:hint="eastAsia"/>
                <w:szCs w:val="32"/>
              </w:rPr>
              <w:t>目标</w:t>
            </w:r>
            <w:r>
              <w:rPr>
                <w:rFonts w:ascii="仿宋" w:hAnsi="仿宋"/>
                <w:szCs w:val="32"/>
              </w:rPr>
              <w:t>行业</w:t>
            </w:r>
          </w:p>
        </w:tc>
      </w:tr>
      <w:tr w:rsidR="00E53126" w:rsidTr="00B65CEF">
        <w:tc>
          <w:tcPr>
            <w:tcW w:w="4621" w:type="dxa"/>
            <w:vAlign w:val="center"/>
          </w:tcPr>
          <w:p w:rsidR="00E53126" w:rsidRDefault="00E53126" w:rsidP="002B0DCA">
            <w:pPr>
              <w:spacing w:line="240" w:lineRule="auto"/>
              <w:ind w:firstLine="0"/>
              <w:jc w:val="center"/>
              <w:rPr>
                <w:rFonts w:ascii="仿宋" w:hAnsi="仿宋"/>
                <w:szCs w:val="32"/>
              </w:rPr>
            </w:pPr>
            <w:r>
              <w:rPr>
                <w:rFonts w:ascii="仿宋" w:hAnsi="仿宋" w:hint="eastAsia"/>
                <w:szCs w:val="32"/>
              </w:rPr>
              <w:t>英国</w:t>
            </w:r>
            <w:r>
              <w:rPr>
                <w:rFonts w:ascii="仿宋" w:hAnsi="仿宋"/>
                <w:szCs w:val="32"/>
              </w:rPr>
              <w:t>绿色投资银行</w:t>
            </w:r>
          </w:p>
        </w:tc>
        <w:tc>
          <w:tcPr>
            <w:tcW w:w="4622" w:type="dxa"/>
          </w:tcPr>
          <w:p w:rsidR="00E53126" w:rsidRPr="007A2A4F" w:rsidRDefault="00E53126" w:rsidP="002B0DCA">
            <w:pPr>
              <w:pStyle w:val="ListParagraph"/>
              <w:numPr>
                <w:ilvl w:val="0"/>
                <w:numId w:val="4"/>
              </w:numPr>
              <w:spacing w:line="240" w:lineRule="auto"/>
              <w:rPr>
                <w:rFonts w:ascii="仿宋" w:hAnsi="仿宋"/>
                <w:szCs w:val="32"/>
              </w:rPr>
            </w:pPr>
            <w:r w:rsidRPr="007A2A4F">
              <w:rPr>
                <w:rFonts w:ascii="仿宋" w:hAnsi="仿宋" w:hint="eastAsia"/>
                <w:szCs w:val="32"/>
              </w:rPr>
              <w:t>海上</w:t>
            </w:r>
            <w:r w:rsidRPr="007A2A4F">
              <w:rPr>
                <w:rFonts w:ascii="仿宋" w:hAnsi="仿宋"/>
                <w:szCs w:val="32"/>
              </w:rPr>
              <w:t>风能</w:t>
            </w:r>
          </w:p>
          <w:p w:rsidR="00E53126" w:rsidRDefault="00E53126" w:rsidP="002B0DCA">
            <w:pPr>
              <w:pStyle w:val="ListParagraph"/>
              <w:numPr>
                <w:ilvl w:val="0"/>
                <w:numId w:val="4"/>
              </w:numPr>
              <w:spacing w:line="240" w:lineRule="auto"/>
              <w:rPr>
                <w:rFonts w:ascii="仿宋" w:hAnsi="仿宋"/>
                <w:szCs w:val="32"/>
              </w:rPr>
            </w:pPr>
            <w:r>
              <w:rPr>
                <w:rFonts w:ascii="仿宋" w:hAnsi="仿宋" w:hint="eastAsia"/>
                <w:szCs w:val="32"/>
              </w:rPr>
              <w:t>垃圾</w:t>
            </w:r>
            <w:r>
              <w:rPr>
                <w:rFonts w:ascii="仿宋" w:hAnsi="仿宋"/>
                <w:szCs w:val="32"/>
              </w:rPr>
              <w:t>处理与生物能源</w:t>
            </w:r>
          </w:p>
          <w:p w:rsidR="00E53126" w:rsidRDefault="00E53126" w:rsidP="002B0DCA">
            <w:pPr>
              <w:pStyle w:val="ListParagraph"/>
              <w:numPr>
                <w:ilvl w:val="0"/>
                <w:numId w:val="4"/>
              </w:numPr>
              <w:spacing w:line="240" w:lineRule="auto"/>
              <w:rPr>
                <w:rFonts w:ascii="仿宋" w:hAnsi="仿宋"/>
                <w:szCs w:val="32"/>
              </w:rPr>
            </w:pPr>
            <w:r>
              <w:rPr>
                <w:rFonts w:ascii="仿宋" w:hAnsi="仿宋" w:hint="eastAsia"/>
                <w:szCs w:val="32"/>
              </w:rPr>
              <w:t>节能</w:t>
            </w:r>
          </w:p>
        </w:tc>
      </w:tr>
      <w:tr w:rsidR="00E53126" w:rsidTr="00B65CEF">
        <w:tc>
          <w:tcPr>
            <w:tcW w:w="4621" w:type="dxa"/>
            <w:vAlign w:val="center"/>
          </w:tcPr>
          <w:p w:rsidR="00E53126" w:rsidRDefault="00E53126" w:rsidP="002B0DCA">
            <w:pPr>
              <w:spacing w:line="240" w:lineRule="auto"/>
              <w:ind w:firstLine="0"/>
              <w:jc w:val="center"/>
              <w:rPr>
                <w:rFonts w:ascii="仿宋" w:hAnsi="仿宋"/>
                <w:szCs w:val="32"/>
              </w:rPr>
            </w:pPr>
            <w:r w:rsidRPr="00087EA9">
              <w:rPr>
                <w:rFonts w:ascii="仿宋" w:hAnsi="仿宋" w:hint="eastAsia"/>
                <w:szCs w:val="32"/>
              </w:rPr>
              <w:t>澳大利亚</w:t>
            </w:r>
            <w:r w:rsidRPr="00087EA9">
              <w:rPr>
                <w:rFonts w:ascii="仿宋" w:hAnsi="仿宋"/>
                <w:szCs w:val="32"/>
              </w:rPr>
              <w:t>清洁能源金融公司</w:t>
            </w:r>
          </w:p>
        </w:tc>
        <w:tc>
          <w:tcPr>
            <w:tcW w:w="4622" w:type="dxa"/>
          </w:tcPr>
          <w:p w:rsidR="00E53126" w:rsidRDefault="00E53126" w:rsidP="002B0DCA">
            <w:pPr>
              <w:pStyle w:val="ListParagraph"/>
              <w:numPr>
                <w:ilvl w:val="0"/>
                <w:numId w:val="4"/>
              </w:numPr>
              <w:spacing w:line="240" w:lineRule="auto"/>
              <w:rPr>
                <w:rFonts w:ascii="仿宋" w:hAnsi="仿宋"/>
                <w:szCs w:val="32"/>
              </w:rPr>
            </w:pPr>
            <w:r>
              <w:rPr>
                <w:rFonts w:ascii="仿宋" w:hAnsi="仿宋" w:hint="eastAsia"/>
                <w:szCs w:val="32"/>
              </w:rPr>
              <w:t>可再生</w:t>
            </w:r>
            <w:r>
              <w:rPr>
                <w:rFonts w:ascii="仿宋" w:hAnsi="仿宋"/>
                <w:szCs w:val="32"/>
              </w:rPr>
              <w:t>能源</w:t>
            </w:r>
          </w:p>
          <w:p w:rsidR="00E53126" w:rsidRDefault="00E53126" w:rsidP="002B0DCA">
            <w:pPr>
              <w:pStyle w:val="ListParagraph"/>
              <w:numPr>
                <w:ilvl w:val="0"/>
                <w:numId w:val="4"/>
              </w:numPr>
              <w:spacing w:line="240" w:lineRule="auto"/>
              <w:rPr>
                <w:rFonts w:ascii="仿宋" w:hAnsi="仿宋"/>
                <w:szCs w:val="32"/>
              </w:rPr>
            </w:pPr>
            <w:r>
              <w:rPr>
                <w:rFonts w:ascii="仿宋" w:hAnsi="仿宋" w:hint="eastAsia"/>
                <w:szCs w:val="32"/>
              </w:rPr>
              <w:t>节能</w:t>
            </w:r>
          </w:p>
          <w:p w:rsidR="00E53126" w:rsidRDefault="004D5468" w:rsidP="002B0DCA">
            <w:pPr>
              <w:pStyle w:val="ListParagraph"/>
              <w:numPr>
                <w:ilvl w:val="0"/>
                <w:numId w:val="4"/>
              </w:numPr>
              <w:spacing w:line="240" w:lineRule="auto"/>
              <w:rPr>
                <w:rFonts w:ascii="仿宋" w:hAnsi="仿宋"/>
                <w:szCs w:val="32"/>
              </w:rPr>
            </w:pPr>
            <w:r>
              <w:rPr>
                <w:rFonts w:ascii="仿宋" w:hAnsi="仿宋" w:hint="eastAsia"/>
                <w:szCs w:val="32"/>
              </w:rPr>
              <w:t>其他</w:t>
            </w:r>
            <w:r w:rsidR="00E53126">
              <w:rPr>
                <w:rFonts w:ascii="仿宋" w:hAnsi="仿宋"/>
                <w:szCs w:val="32"/>
              </w:rPr>
              <w:t>低排放技术</w:t>
            </w:r>
          </w:p>
        </w:tc>
      </w:tr>
      <w:tr w:rsidR="00E53126" w:rsidTr="00B65CEF">
        <w:tc>
          <w:tcPr>
            <w:tcW w:w="4621" w:type="dxa"/>
            <w:vAlign w:val="center"/>
          </w:tcPr>
          <w:p w:rsidR="00E53126" w:rsidRDefault="00E53126" w:rsidP="002B0DCA">
            <w:pPr>
              <w:spacing w:line="240" w:lineRule="auto"/>
              <w:ind w:firstLine="0"/>
              <w:jc w:val="center"/>
              <w:rPr>
                <w:rFonts w:ascii="仿宋" w:hAnsi="仿宋"/>
                <w:szCs w:val="32"/>
              </w:rPr>
            </w:pPr>
            <w:r w:rsidRPr="00087EA9">
              <w:rPr>
                <w:rFonts w:ascii="仿宋" w:hAnsi="仿宋" w:hint="eastAsia"/>
                <w:szCs w:val="32"/>
              </w:rPr>
              <w:t>美国</w:t>
            </w:r>
            <w:r w:rsidRPr="00087EA9">
              <w:rPr>
                <w:rFonts w:ascii="仿宋" w:hAnsi="仿宋"/>
                <w:szCs w:val="32"/>
              </w:rPr>
              <w:t>纽约州绿色银行</w:t>
            </w:r>
          </w:p>
        </w:tc>
        <w:tc>
          <w:tcPr>
            <w:tcW w:w="4622" w:type="dxa"/>
          </w:tcPr>
          <w:p w:rsidR="00E53126" w:rsidRDefault="00E53126" w:rsidP="002B0DCA">
            <w:pPr>
              <w:pStyle w:val="ListParagraph"/>
              <w:numPr>
                <w:ilvl w:val="0"/>
                <w:numId w:val="4"/>
              </w:numPr>
              <w:spacing w:line="240" w:lineRule="auto"/>
              <w:rPr>
                <w:rFonts w:ascii="仿宋" w:hAnsi="仿宋"/>
                <w:szCs w:val="32"/>
              </w:rPr>
            </w:pPr>
            <w:r>
              <w:rPr>
                <w:rFonts w:ascii="仿宋" w:hAnsi="仿宋" w:hint="eastAsia"/>
                <w:szCs w:val="32"/>
              </w:rPr>
              <w:t>可再生</w:t>
            </w:r>
            <w:r>
              <w:rPr>
                <w:rFonts w:ascii="仿宋" w:hAnsi="仿宋"/>
                <w:szCs w:val="32"/>
              </w:rPr>
              <w:t>能源</w:t>
            </w:r>
          </w:p>
          <w:p w:rsidR="00E53126" w:rsidRDefault="00E53126" w:rsidP="002B0DCA">
            <w:pPr>
              <w:pStyle w:val="ListParagraph"/>
              <w:numPr>
                <w:ilvl w:val="0"/>
                <w:numId w:val="4"/>
              </w:numPr>
              <w:spacing w:line="240" w:lineRule="auto"/>
              <w:rPr>
                <w:rFonts w:ascii="仿宋" w:hAnsi="仿宋"/>
                <w:szCs w:val="32"/>
              </w:rPr>
            </w:pPr>
            <w:r>
              <w:rPr>
                <w:rFonts w:ascii="仿宋" w:hAnsi="仿宋" w:hint="eastAsia"/>
                <w:szCs w:val="32"/>
              </w:rPr>
              <w:t>节能</w:t>
            </w:r>
          </w:p>
        </w:tc>
      </w:tr>
      <w:tr w:rsidR="00E53126" w:rsidTr="00B65CEF">
        <w:tc>
          <w:tcPr>
            <w:tcW w:w="4621" w:type="dxa"/>
            <w:vAlign w:val="center"/>
          </w:tcPr>
          <w:p w:rsidR="00E53126" w:rsidRDefault="00E53126" w:rsidP="002B0DCA">
            <w:pPr>
              <w:spacing w:line="240" w:lineRule="auto"/>
              <w:ind w:firstLine="0"/>
              <w:jc w:val="center"/>
              <w:rPr>
                <w:rFonts w:ascii="仿宋" w:hAnsi="仿宋"/>
                <w:szCs w:val="32"/>
              </w:rPr>
            </w:pPr>
            <w:r w:rsidRPr="00087EA9">
              <w:rPr>
                <w:rFonts w:ascii="仿宋" w:hAnsi="仿宋" w:hint="eastAsia"/>
                <w:szCs w:val="32"/>
              </w:rPr>
              <w:t>美国康涅狄格州绿色</w:t>
            </w:r>
            <w:r w:rsidRPr="00087EA9">
              <w:rPr>
                <w:rFonts w:ascii="仿宋" w:hAnsi="仿宋"/>
                <w:szCs w:val="32"/>
              </w:rPr>
              <w:t>银行</w:t>
            </w:r>
          </w:p>
        </w:tc>
        <w:tc>
          <w:tcPr>
            <w:tcW w:w="4622" w:type="dxa"/>
          </w:tcPr>
          <w:p w:rsidR="00E53126" w:rsidRDefault="007A2A4F" w:rsidP="002B0DCA">
            <w:pPr>
              <w:pStyle w:val="ListParagraph"/>
              <w:numPr>
                <w:ilvl w:val="0"/>
                <w:numId w:val="4"/>
              </w:numPr>
              <w:spacing w:line="240" w:lineRule="auto"/>
              <w:rPr>
                <w:rFonts w:ascii="仿宋" w:hAnsi="仿宋"/>
                <w:szCs w:val="32"/>
              </w:rPr>
            </w:pPr>
            <w:r>
              <w:rPr>
                <w:rFonts w:ascii="仿宋" w:hAnsi="仿宋" w:hint="eastAsia"/>
                <w:szCs w:val="32"/>
              </w:rPr>
              <w:t>可再生</w:t>
            </w:r>
            <w:r>
              <w:rPr>
                <w:rFonts w:ascii="仿宋" w:hAnsi="仿宋"/>
                <w:szCs w:val="32"/>
              </w:rPr>
              <w:t>能源</w:t>
            </w:r>
          </w:p>
          <w:p w:rsidR="007A2A4F" w:rsidRDefault="007A2A4F" w:rsidP="002B0DCA">
            <w:pPr>
              <w:pStyle w:val="ListParagraph"/>
              <w:numPr>
                <w:ilvl w:val="0"/>
                <w:numId w:val="4"/>
              </w:numPr>
              <w:spacing w:line="240" w:lineRule="auto"/>
              <w:rPr>
                <w:rFonts w:ascii="仿宋" w:hAnsi="仿宋"/>
                <w:szCs w:val="32"/>
              </w:rPr>
            </w:pPr>
            <w:r>
              <w:rPr>
                <w:rFonts w:ascii="仿宋" w:hAnsi="仿宋" w:hint="eastAsia"/>
                <w:szCs w:val="32"/>
              </w:rPr>
              <w:t>燃料</w:t>
            </w:r>
            <w:r>
              <w:rPr>
                <w:rFonts w:ascii="仿宋" w:hAnsi="仿宋"/>
                <w:szCs w:val="32"/>
              </w:rPr>
              <w:t>电池</w:t>
            </w:r>
          </w:p>
          <w:p w:rsidR="007A2A4F" w:rsidRDefault="007A2A4F" w:rsidP="002B0DCA">
            <w:pPr>
              <w:pStyle w:val="ListParagraph"/>
              <w:numPr>
                <w:ilvl w:val="0"/>
                <w:numId w:val="4"/>
              </w:numPr>
              <w:spacing w:line="240" w:lineRule="auto"/>
              <w:rPr>
                <w:rFonts w:ascii="仿宋" w:hAnsi="仿宋"/>
                <w:szCs w:val="32"/>
              </w:rPr>
            </w:pPr>
            <w:r>
              <w:rPr>
                <w:rFonts w:ascii="仿宋" w:hAnsi="仿宋" w:hint="eastAsia"/>
                <w:szCs w:val="32"/>
              </w:rPr>
              <w:t>热电联供</w:t>
            </w:r>
          </w:p>
          <w:p w:rsidR="007A2A4F" w:rsidRPr="007A2A4F" w:rsidRDefault="007A2A4F" w:rsidP="002B0DCA">
            <w:pPr>
              <w:pStyle w:val="ListParagraph"/>
              <w:numPr>
                <w:ilvl w:val="0"/>
                <w:numId w:val="4"/>
              </w:numPr>
              <w:spacing w:line="240" w:lineRule="auto"/>
              <w:rPr>
                <w:rFonts w:ascii="仿宋" w:hAnsi="仿宋"/>
                <w:szCs w:val="32"/>
              </w:rPr>
            </w:pPr>
            <w:r>
              <w:rPr>
                <w:rFonts w:ascii="仿宋" w:hAnsi="仿宋" w:hint="eastAsia"/>
                <w:szCs w:val="32"/>
              </w:rPr>
              <w:t>节能</w:t>
            </w:r>
          </w:p>
        </w:tc>
      </w:tr>
      <w:tr w:rsidR="00E53126" w:rsidTr="00B65CEF">
        <w:tc>
          <w:tcPr>
            <w:tcW w:w="4621" w:type="dxa"/>
            <w:vAlign w:val="center"/>
          </w:tcPr>
          <w:p w:rsidR="00E53126" w:rsidRDefault="00E53126" w:rsidP="002B0DCA">
            <w:pPr>
              <w:spacing w:line="240" w:lineRule="auto"/>
              <w:ind w:firstLine="0"/>
              <w:jc w:val="center"/>
              <w:rPr>
                <w:rFonts w:ascii="仿宋" w:hAnsi="仿宋"/>
                <w:szCs w:val="32"/>
              </w:rPr>
            </w:pPr>
            <w:r w:rsidRPr="00087EA9">
              <w:rPr>
                <w:rFonts w:ascii="仿宋" w:hAnsi="仿宋"/>
                <w:szCs w:val="32"/>
              </w:rPr>
              <w:t>美国新泽西州</w:t>
            </w:r>
            <w:r w:rsidRPr="00087EA9">
              <w:rPr>
                <w:rFonts w:ascii="仿宋" w:hAnsi="仿宋" w:hint="eastAsia"/>
                <w:szCs w:val="32"/>
              </w:rPr>
              <w:t>能源适应力银行</w:t>
            </w:r>
          </w:p>
        </w:tc>
        <w:tc>
          <w:tcPr>
            <w:tcW w:w="4622" w:type="dxa"/>
          </w:tcPr>
          <w:p w:rsidR="00E53126" w:rsidRDefault="007A2A4F" w:rsidP="002B0DCA">
            <w:pPr>
              <w:pStyle w:val="ListParagraph"/>
              <w:numPr>
                <w:ilvl w:val="0"/>
                <w:numId w:val="5"/>
              </w:numPr>
              <w:spacing w:line="240" w:lineRule="auto"/>
              <w:rPr>
                <w:rFonts w:ascii="仿宋" w:hAnsi="仿宋"/>
                <w:szCs w:val="32"/>
              </w:rPr>
            </w:pPr>
            <w:r>
              <w:rPr>
                <w:rFonts w:ascii="仿宋" w:hAnsi="仿宋" w:hint="eastAsia"/>
                <w:szCs w:val="32"/>
              </w:rPr>
              <w:t>分布式</w:t>
            </w:r>
            <w:r>
              <w:rPr>
                <w:rFonts w:ascii="仿宋" w:hAnsi="仿宋"/>
                <w:szCs w:val="32"/>
              </w:rPr>
              <w:t>能源</w:t>
            </w:r>
          </w:p>
          <w:p w:rsidR="007A2A4F" w:rsidRDefault="007A2A4F" w:rsidP="002B0DCA">
            <w:pPr>
              <w:pStyle w:val="ListParagraph"/>
              <w:numPr>
                <w:ilvl w:val="1"/>
                <w:numId w:val="5"/>
              </w:numPr>
              <w:spacing w:line="240" w:lineRule="auto"/>
              <w:rPr>
                <w:rFonts w:ascii="仿宋" w:hAnsi="仿宋"/>
                <w:szCs w:val="32"/>
              </w:rPr>
            </w:pPr>
            <w:r>
              <w:rPr>
                <w:rFonts w:ascii="仿宋" w:hAnsi="仿宋" w:hint="eastAsia"/>
                <w:szCs w:val="32"/>
              </w:rPr>
              <w:t>节能</w:t>
            </w:r>
          </w:p>
          <w:p w:rsidR="007A2A4F" w:rsidRDefault="007A2A4F" w:rsidP="002B0DCA">
            <w:pPr>
              <w:pStyle w:val="ListParagraph"/>
              <w:numPr>
                <w:ilvl w:val="1"/>
                <w:numId w:val="5"/>
              </w:numPr>
              <w:spacing w:line="240" w:lineRule="auto"/>
              <w:rPr>
                <w:rFonts w:ascii="仿宋" w:hAnsi="仿宋"/>
                <w:szCs w:val="32"/>
              </w:rPr>
            </w:pPr>
            <w:r>
              <w:rPr>
                <w:rFonts w:ascii="仿宋" w:hAnsi="仿宋" w:hint="eastAsia"/>
                <w:szCs w:val="32"/>
              </w:rPr>
              <w:t>分布式</w:t>
            </w:r>
            <w:r>
              <w:rPr>
                <w:rFonts w:ascii="仿宋" w:hAnsi="仿宋"/>
                <w:szCs w:val="32"/>
              </w:rPr>
              <w:t>发电</w:t>
            </w:r>
          </w:p>
          <w:p w:rsidR="007A2A4F" w:rsidRDefault="007A2A4F" w:rsidP="002B0DCA">
            <w:pPr>
              <w:pStyle w:val="ListParagraph"/>
              <w:numPr>
                <w:ilvl w:val="1"/>
                <w:numId w:val="5"/>
              </w:numPr>
              <w:spacing w:line="240" w:lineRule="auto"/>
              <w:rPr>
                <w:rFonts w:ascii="仿宋" w:hAnsi="仿宋"/>
                <w:szCs w:val="32"/>
              </w:rPr>
            </w:pPr>
            <w:r>
              <w:rPr>
                <w:rFonts w:ascii="仿宋" w:hAnsi="仿宋" w:hint="eastAsia"/>
                <w:szCs w:val="32"/>
              </w:rPr>
              <w:t>热电联供</w:t>
            </w:r>
          </w:p>
          <w:p w:rsidR="007A2A4F" w:rsidRDefault="007A2A4F" w:rsidP="002B0DCA">
            <w:pPr>
              <w:pStyle w:val="ListParagraph"/>
              <w:numPr>
                <w:ilvl w:val="1"/>
                <w:numId w:val="5"/>
              </w:numPr>
              <w:spacing w:line="240" w:lineRule="auto"/>
              <w:rPr>
                <w:rFonts w:ascii="仿宋" w:hAnsi="仿宋"/>
                <w:szCs w:val="32"/>
              </w:rPr>
            </w:pPr>
            <w:r>
              <w:rPr>
                <w:rFonts w:ascii="仿宋" w:hAnsi="仿宋" w:hint="eastAsia"/>
                <w:szCs w:val="32"/>
              </w:rPr>
              <w:t>燃料电池</w:t>
            </w:r>
          </w:p>
          <w:p w:rsidR="007A2A4F" w:rsidRDefault="00B65CEF" w:rsidP="002B0DCA">
            <w:pPr>
              <w:pStyle w:val="ListParagraph"/>
              <w:numPr>
                <w:ilvl w:val="1"/>
                <w:numId w:val="5"/>
              </w:numPr>
              <w:spacing w:line="240" w:lineRule="auto"/>
              <w:rPr>
                <w:rFonts w:ascii="仿宋" w:hAnsi="仿宋"/>
                <w:szCs w:val="32"/>
              </w:rPr>
            </w:pPr>
            <w:r>
              <w:rPr>
                <w:rFonts w:ascii="仿宋" w:hAnsi="仿宋" w:hint="eastAsia"/>
                <w:szCs w:val="32"/>
              </w:rPr>
              <w:t>配备</w:t>
            </w:r>
            <w:r>
              <w:rPr>
                <w:rFonts w:ascii="仿宋" w:hAnsi="仿宋"/>
                <w:szCs w:val="32"/>
              </w:rPr>
              <w:t>离网逆变器和储存电池的太阳能</w:t>
            </w:r>
            <w:r>
              <w:rPr>
                <w:rFonts w:ascii="仿宋" w:hAnsi="仿宋" w:hint="eastAsia"/>
                <w:szCs w:val="32"/>
              </w:rPr>
              <w:t>电池板</w:t>
            </w:r>
          </w:p>
          <w:p w:rsidR="00B65CEF" w:rsidRPr="007A2A4F" w:rsidRDefault="004D5468" w:rsidP="002B0DCA">
            <w:pPr>
              <w:pStyle w:val="ListParagraph"/>
              <w:numPr>
                <w:ilvl w:val="1"/>
                <w:numId w:val="5"/>
              </w:numPr>
              <w:spacing w:line="240" w:lineRule="auto"/>
              <w:rPr>
                <w:rFonts w:ascii="仿宋" w:hAnsi="仿宋"/>
                <w:szCs w:val="32"/>
              </w:rPr>
            </w:pPr>
            <w:r>
              <w:rPr>
                <w:rFonts w:ascii="仿宋" w:hAnsi="仿宋" w:hint="eastAsia"/>
                <w:szCs w:val="32"/>
              </w:rPr>
              <w:t>其他</w:t>
            </w:r>
          </w:p>
        </w:tc>
      </w:tr>
    </w:tbl>
    <w:p w:rsidR="0089674D" w:rsidRDefault="0089674D" w:rsidP="0089674D">
      <w:pPr>
        <w:spacing w:before="120"/>
        <w:ind w:firstLine="0"/>
      </w:pPr>
      <w:r>
        <w:rPr>
          <w:rFonts w:hint="eastAsia"/>
        </w:rPr>
        <w:t>备注</w:t>
      </w:r>
      <w:r>
        <w:t>：</w:t>
      </w:r>
      <w:r>
        <w:rPr>
          <w:rFonts w:hint="eastAsia"/>
        </w:rPr>
        <w:t>可再生</w:t>
      </w:r>
      <w:r>
        <w:t>能源</w:t>
      </w:r>
      <w:r>
        <w:rPr>
          <w:rFonts w:hint="eastAsia"/>
        </w:rPr>
        <w:t>一般包括</w:t>
      </w:r>
      <w:r w:rsidR="001103BA">
        <w:rPr>
          <w:rFonts w:hint="eastAsia"/>
        </w:rPr>
        <w:t>太阳能、风能、水电、地热能、生物能、潮汐能等。</w:t>
      </w:r>
    </w:p>
    <w:p w:rsidR="00E15545" w:rsidRPr="00087EA9" w:rsidRDefault="0089674D" w:rsidP="00967423">
      <w:pPr>
        <w:pStyle w:val="Heading1"/>
      </w:pPr>
      <w:r>
        <w:rPr>
          <w:rFonts w:hint="eastAsia"/>
        </w:rPr>
        <w:lastRenderedPageBreak/>
        <w:t>五</w:t>
      </w:r>
      <w:r>
        <w:t>、</w:t>
      </w:r>
      <w:r w:rsidR="00E15545" w:rsidRPr="00087EA9">
        <w:rPr>
          <w:rFonts w:hint="eastAsia"/>
        </w:rPr>
        <w:t>绿色</w:t>
      </w:r>
      <w:r w:rsidR="009270DA">
        <w:t>银行运营特点：</w:t>
      </w:r>
      <w:r w:rsidR="009270DA">
        <w:rPr>
          <w:rFonts w:hint="eastAsia"/>
        </w:rPr>
        <w:t>结构、公司治理</w:t>
      </w:r>
      <w:r w:rsidR="00E15545" w:rsidRPr="00087EA9">
        <w:t>和风险管理</w:t>
      </w:r>
    </w:p>
    <w:p w:rsidR="00352B4E" w:rsidRDefault="00352B4E" w:rsidP="00352B4E">
      <w:pPr>
        <w:pStyle w:val="Heading2"/>
      </w:pPr>
      <w:r>
        <w:rPr>
          <w:rFonts w:hint="eastAsia"/>
        </w:rPr>
        <w:t>（一</w:t>
      </w:r>
      <w:r>
        <w:t>）</w:t>
      </w:r>
      <w:r w:rsidR="003E2CA7">
        <w:rPr>
          <w:rFonts w:hint="eastAsia"/>
        </w:rPr>
        <w:t>绿色银行结构与</w:t>
      </w:r>
      <w:r>
        <w:rPr>
          <w:rFonts w:hint="eastAsia"/>
        </w:rPr>
        <w:t>公司</w:t>
      </w:r>
      <w:r>
        <w:t>治理</w:t>
      </w:r>
    </w:p>
    <w:p w:rsidR="008234CE" w:rsidRDefault="0082694C" w:rsidP="002A10AD">
      <w:r>
        <w:rPr>
          <w:rFonts w:ascii="仿宋" w:hAnsi="仿宋" w:hint="eastAsia"/>
          <w:noProof/>
          <w:szCs w:val="32"/>
        </w:rPr>
        <w:drawing>
          <wp:anchor distT="0" distB="0" distL="114300" distR="114300" simplePos="0" relativeHeight="251660800" behindDoc="0" locked="0" layoutInCell="1" allowOverlap="1">
            <wp:simplePos x="0" y="0"/>
            <wp:positionH relativeFrom="column">
              <wp:posOffset>0</wp:posOffset>
            </wp:positionH>
            <wp:positionV relativeFrom="paragraph">
              <wp:posOffset>2416810</wp:posOffset>
            </wp:positionV>
            <wp:extent cx="5932805" cy="1775460"/>
            <wp:effectExtent l="0" t="0" r="67945"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48074E">
        <w:rPr>
          <w:rFonts w:hint="eastAsia"/>
        </w:rPr>
        <w:t>上一节</w:t>
      </w:r>
      <w:r w:rsidR="00735AD1">
        <w:t>中分析的</w:t>
      </w:r>
      <w:r w:rsidR="00735AD1">
        <w:rPr>
          <w:rFonts w:hint="eastAsia"/>
        </w:rPr>
        <w:t>五家</w:t>
      </w:r>
      <w:r w:rsidR="00735AD1">
        <w:t>绿色银行</w:t>
      </w:r>
      <w:r w:rsidR="00735AD1">
        <w:rPr>
          <w:rFonts w:hint="eastAsia"/>
        </w:rPr>
        <w:t>都是</w:t>
      </w:r>
      <w:r w:rsidR="00735AD1">
        <w:t>由国家或地方政府独立出资，因此</w:t>
      </w:r>
      <w:r w:rsidR="00735AD1">
        <w:rPr>
          <w:rFonts w:hint="eastAsia"/>
        </w:rPr>
        <w:t>政府</w:t>
      </w:r>
      <w:r w:rsidR="00735AD1">
        <w:t>通常是绿色银行的唯一股东</w:t>
      </w:r>
      <w:r w:rsidR="00735AD1">
        <w:rPr>
          <w:rFonts w:hint="eastAsia"/>
        </w:rPr>
        <w:t>。</w:t>
      </w:r>
      <w:r w:rsidR="00735AD1">
        <w:t>但是</w:t>
      </w:r>
      <w:r w:rsidR="00735AD1">
        <w:rPr>
          <w:rFonts w:hint="eastAsia"/>
        </w:rPr>
        <w:t>，政府</w:t>
      </w:r>
      <w:r w:rsidR="00735AD1">
        <w:t>并没有干预绿色银行的</w:t>
      </w:r>
      <w:r w:rsidR="00735AD1">
        <w:rPr>
          <w:rFonts w:hint="eastAsia"/>
        </w:rPr>
        <w:t>日常</w:t>
      </w:r>
      <w:r w:rsidR="00735AD1">
        <w:t>运营，而是</w:t>
      </w:r>
      <w:r w:rsidR="00735AD1">
        <w:rPr>
          <w:rFonts w:hint="eastAsia"/>
        </w:rPr>
        <w:t>通过</w:t>
      </w:r>
      <w:r w:rsidR="00735AD1">
        <w:t>雇佣专业人才</w:t>
      </w:r>
      <w:r w:rsidR="0048074E">
        <w:rPr>
          <w:rFonts w:hint="eastAsia"/>
        </w:rPr>
        <w:t>负责</w:t>
      </w:r>
      <w:r w:rsidR="00735AD1">
        <w:rPr>
          <w:rFonts w:hint="eastAsia"/>
        </w:rPr>
        <w:t>。政府</w:t>
      </w:r>
      <w:r w:rsidR="00735AD1">
        <w:t>和绿色银行董事会共同</w:t>
      </w:r>
      <w:r w:rsidR="00735AD1">
        <w:rPr>
          <w:rFonts w:hint="eastAsia"/>
        </w:rPr>
        <w:t>制定</w:t>
      </w:r>
      <w:r w:rsidR="00735AD1">
        <w:t>绿色银行的中长期发展规划、</w:t>
      </w:r>
      <w:r w:rsidR="00735AD1">
        <w:rPr>
          <w:rFonts w:hint="eastAsia"/>
        </w:rPr>
        <w:t>战略</w:t>
      </w:r>
      <w:r w:rsidR="00735AD1">
        <w:t>和投资指引</w:t>
      </w:r>
      <w:r w:rsidR="00352B4E">
        <w:rPr>
          <w:rFonts w:hint="eastAsia"/>
        </w:rPr>
        <w:t>等</w:t>
      </w:r>
      <w:r w:rsidR="00352B4E">
        <w:t>。通过</w:t>
      </w:r>
      <w:r w:rsidR="00352B4E">
        <w:rPr>
          <w:rFonts w:hint="eastAsia"/>
        </w:rPr>
        <w:t>这种</w:t>
      </w:r>
      <w:r w:rsidR="00352B4E">
        <w:t>方式，政府将</w:t>
      </w:r>
      <w:r w:rsidR="00352B4E">
        <w:rPr>
          <w:rFonts w:hint="eastAsia"/>
        </w:rPr>
        <w:t>确保</w:t>
      </w:r>
      <w:r w:rsidR="00352B4E">
        <w:t>绿色银行的</w:t>
      </w:r>
      <w:r w:rsidR="00352B4E">
        <w:rPr>
          <w:rFonts w:hint="eastAsia"/>
        </w:rPr>
        <w:t>战略</w:t>
      </w:r>
      <w:r w:rsidR="0048074E">
        <w:t>发展方向与政府政策一致，而并不</w:t>
      </w:r>
      <w:r w:rsidR="00352B4E">
        <w:t>直接干预日常运营。</w:t>
      </w:r>
    </w:p>
    <w:p w:rsidR="00134BAA" w:rsidRPr="00134BAA" w:rsidRDefault="00352B4E" w:rsidP="00134BAA">
      <w:pPr>
        <w:pStyle w:val="Heading3"/>
        <w:numPr>
          <w:ilvl w:val="0"/>
          <w:numId w:val="6"/>
        </w:numPr>
      </w:pPr>
      <w:r>
        <w:rPr>
          <w:rFonts w:hint="eastAsia"/>
        </w:rPr>
        <w:t>英国</w:t>
      </w:r>
      <w:r>
        <w:t>绿色投资银行</w:t>
      </w:r>
    </w:p>
    <w:p w:rsidR="00352B4E" w:rsidRDefault="00352B4E" w:rsidP="002A10AD">
      <w:r>
        <w:rPr>
          <w:rFonts w:hint="eastAsia"/>
        </w:rPr>
        <w:t>英国商务</w:t>
      </w:r>
      <w:r>
        <w:t>、创新和技能部（</w:t>
      </w:r>
      <w:r w:rsidRPr="00352B4E">
        <w:t>The Department for Business, Innovation and Skills</w:t>
      </w:r>
      <w:r>
        <w:t>）</w:t>
      </w:r>
      <w:r w:rsidR="0018553F">
        <w:rPr>
          <w:rFonts w:hint="eastAsia"/>
        </w:rPr>
        <w:t>是</w:t>
      </w:r>
      <w:r>
        <w:t>英国绿色投资银行的</w:t>
      </w:r>
      <w:r>
        <w:rPr>
          <w:rFonts w:hint="eastAsia"/>
        </w:rPr>
        <w:t>唯一</w:t>
      </w:r>
      <w:r w:rsidR="0018553F">
        <w:t>政府</w:t>
      </w:r>
      <w:r>
        <w:t>股东。</w:t>
      </w:r>
      <w:r w:rsidR="0018553F">
        <w:rPr>
          <w:rFonts w:hint="eastAsia"/>
        </w:rPr>
        <w:t>该</w:t>
      </w:r>
      <w:r w:rsidR="006B1ABD">
        <w:rPr>
          <w:rFonts w:hint="eastAsia"/>
        </w:rPr>
        <w:t>部</w:t>
      </w:r>
      <w:r w:rsidR="006B1ABD">
        <w:t>与</w:t>
      </w:r>
      <w:r w:rsidR="006B1ABD">
        <w:rPr>
          <w:rFonts w:hint="eastAsia"/>
        </w:rPr>
        <w:t>英国</w:t>
      </w:r>
      <w:r w:rsidR="006B1ABD">
        <w:t>绿色投资银行</w:t>
      </w:r>
      <w:r w:rsidR="006B1ABD">
        <w:rPr>
          <w:rFonts w:hint="eastAsia"/>
        </w:rPr>
        <w:t>政策</w:t>
      </w:r>
      <w:r w:rsidR="006B1ABD">
        <w:t>小组</w:t>
      </w:r>
      <w:r w:rsidR="006B1ABD">
        <w:rPr>
          <w:rFonts w:hint="eastAsia"/>
        </w:rPr>
        <w:t>商议</w:t>
      </w:r>
      <w:r w:rsidR="006B1ABD">
        <w:t>后通过</w:t>
      </w:r>
      <w:r w:rsidR="006B1ABD">
        <w:rPr>
          <w:rFonts w:hint="eastAsia"/>
        </w:rPr>
        <w:t>了</w:t>
      </w:r>
      <w:r w:rsidR="008A69FC">
        <w:rPr>
          <w:rFonts w:hint="eastAsia"/>
        </w:rPr>
        <w:t>银行的</w:t>
      </w:r>
      <w:r w:rsidR="006B1ABD">
        <w:t>条款、</w:t>
      </w:r>
      <w:r w:rsidR="006B1ABD">
        <w:rPr>
          <w:rFonts w:hint="eastAsia"/>
        </w:rPr>
        <w:t>章程</w:t>
      </w:r>
      <w:r w:rsidR="006B1ABD">
        <w:t>和</w:t>
      </w:r>
      <w:r w:rsidR="006B1ABD">
        <w:rPr>
          <w:rFonts w:hint="eastAsia"/>
        </w:rPr>
        <w:t>战略</w:t>
      </w:r>
      <w:r w:rsidR="006B1ABD">
        <w:t>重点。该</w:t>
      </w:r>
      <w:r w:rsidR="006B1ABD">
        <w:rPr>
          <w:rFonts w:hint="eastAsia"/>
        </w:rPr>
        <w:t>部门</w:t>
      </w:r>
      <w:r w:rsidR="008A69FC">
        <w:rPr>
          <w:rFonts w:hint="eastAsia"/>
        </w:rPr>
        <w:t>参与</w:t>
      </w:r>
      <w:r w:rsidR="006B1ABD">
        <w:t>包括</w:t>
      </w:r>
      <w:r w:rsidR="006B1ABD">
        <w:rPr>
          <w:rFonts w:hint="eastAsia"/>
        </w:rPr>
        <w:t>选举</w:t>
      </w:r>
      <w:r w:rsidR="006B1ABD">
        <w:t>董事</w:t>
      </w:r>
      <w:r w:rsidR="006B1ABD">
        <w:rPr>
          <w:rFonts w:hint="eastAsia"/>
        </w:rPr>
        <w:t>会</w:t>
      </w:r>
      <w:r w:rsidR="006B1ABD">
        <w:t>、薪酬制定</w:t>
      </w:r>
      <w:r w:rsidR="006B1ABD">
        <w:rPr>
          <w:rFonts w:hint="eastAsia"/>
        </w:rPr>
        <w:t>等</w:t>
      </w:r>
      <w:r w:rsidR="008A69FC">
        <w:rPr>
          <w:rFonts w:hint="eastAsia"/>
        </w:rPr>
        <w:t>董事会决策程序</w:t>
      </w:r>
      <w:r w:rsidR="006B1ABD">
        <w:t>。</w:t>
      </w:r>
    </w:p>
    <w:p w:rsidR="00134BAA" w:rsidRDefault="00134BAA" w:rsidP="002A10AD">
      <w:r>
        <w:rPr>
          <w:rFonts w:hint="eastAsia"/>
        </w:rPr>
        <w:t>政策</w:t>
      </w:r>
      <w:r>
        <w:t>小组</w:t>
      </w:r>
      <w:r w:rsidR="00CF5B23">
        <w:rPr>
          <w:rFonts w:hint="eastAsia"/>
        </w:rPr>
        <w:t>是</w:t>
      </w:r>
      <w:r w:rsidR="00CF5B23">
        <w:t>用于协调不同政府部门</w:t>
      </w:r>
      <w:r w:rsidR="00CF5B23">
        <w:rPr>
          <w:rFonts w:hint="eastAsia"/>
        </w:rPr>
        <w:t>利益</w:t>
      </w:r>
      <w:r w:rsidR="00CF5B23">
        <w:t>的一个</w:t>
      </w:r>
      <w:r w:rsidR="00CF5B23">
        <w:rPr>
          <w:rFonts w:hint="eastAsia"/>
        </w:rPr>
        <w:t>平台</w:t>
      </w:r>
      <w:r w:rsidR="00CF5B23">
        <w:t>，</w:t>
      </w:r>
      <w:r w:rsidR="00CF5B23">
        <w:rPr>
          <w:rFonts w:hint="eastAsia"/>
        </w:rPr>
        <w:t>由</w:t>
      </w:r>
      <w:r w:rsidR="00CF5B23">
        <w:t>商务、</w:t>
      </w:r>
      <w:r w:rsidR="00CF5B23">
        <w:rPr>
          <w:rFonts w:hint="eastAsia"/>
        </w:rPr>
        <w:t>创新</w:t>
      </w:r>
      <w:r w:rsidR="00CF5B23">
        <w:t>和技能部担任主席，其他政府部门派代表出席。政策</w:t>
      </w:r>
      <w:r w:rsidR="00CF5B23">
        <w:rPr>
          <w:rFonts w:hint="eastAsia"/>
        </w:rPr>
        <w:t>小组、</w:t>
      </w:r>
      <w:r w:rsidR="00CF5B23">
        <w:lastRenderedPageBreak/>
        <w:t>董事会和高级管理层将共同制定绿色投资银行的战略</w:t>
      </w:r>
      <w:r w:rsidR="00CF5B23">
        <w:rPr>
          <w:rFonts w:hint="eastAsia"/>
        </w:rPr>
        <w:t>重点，</w:t>
      </w:r>
      <w:r w:rsidR="00AC343E">
        <w:rPr>
          <w:rFonts w:hint="eastAsia"/>
        </w:rPr>
        <w:t>其中</w:t>
      </w:r>
      <w:r w:rsidR="00CF5B23">
        <w:t>政策小组</w:t>
      </w:r>
      <w:r w:rsidR="00CF5B23">
        <w:rPr>
          <w:rFonts w:hint="eastAsia"/>
        </w:rPr>
        <w:t>的</w:t>
      </w:r>
      <w:r w:rsidR="00CF5B23">
        <w:t>意见将反映各个</w:t>
      </w:r>
      <w:r w:rsidR="00CF5B23">
        <w:rPr>
          <w:rFonts w:hint="eastAsia"/>
        </w:rPr>
        <w:t>政府</w:t>
      </w:r>
      <w:r w:rsidR="002D6790">
        <w:t>部门的</w:t>
      </w:r>
      <w:r w:rsidR="002D6790">
        <w:rPr>
          <w:rFonts w:hint="eastAsia"/>
        </w:rPr>
        <w:t>施政</w:t>
      </w:r>
      <w:r w:rsidR="00CF5B23">
        <w:rPr>
          <w:rFonts w:hint="eastAsia"/>
        </w:rPr>
        <w:t>纲领</w:t>
      </w:r>
      <w:r w:rsidR="00CF5B23">
        <w:t>和重点。</w:t>
      </w:r>
    </w:p>
    <w:p w:rsidR="001103BA" w:rsidRDefault="001103BA" w:rsidP="002A10AD">
      <w:r>
        <w:rPr>
          <w:rFonts w:hint="eastAsia"/>
        </w:rPr>
        <w:t>绿色银行的董事会及其委员会</w:t>
      </w:r>
      <w:r w:rsidR="004D5468">
        <w:rPr>
          <w:rFonts w:hint="eastAsia"/>
        </w:rPr>
        <w:t>将根据私营部门公司治理的最佳实践运行。董事会的主要职责是帮助政策小组制定战略重点并</w:t>
      </w:r>
      <w:r w:rsidR="002D6790">
        <w:rPr>
          <w:rFonts w:hint="eastAsia"/>
        </w:rPr>
        <w:t>确保绿色投资银行的运营符合它的使命、经营方针和战略重点。董事会及其</w:t>
      </w:r>
      <w:r w:rsidR="002D6790">
        <w:t>委员会</w:t>
      </w:r>
      <w:r w:rsidR="004D5468">
        <w:rPr>
          <w:rFonts w:hint="eastAsia"/>
        </w:rPr>
        <w:t>的职责包括：（</w:t>
      </w:r>
      <w:r w:rsidR="004D5468">
        <w:rPr>
          <w:rFonts w:hint="eastAsia"/>
        </w:rPr>
        <w:t>1</w:t>
      </w:r>
      <w:r w:rsidR="004D5468">
        <w:rPr>
          <w:rFonts w:hint="eastAsia"/>
        </w:rPr>
        <w:t>）制定战略与方案；（</w:t>
      </w:r>
      <w:r w:rsidR="004D5468">
        <w:rPr>
          <w:rFonts w:hint="eastAsia"/>
        </w:rPr>
        <w:t>2</w:t>
      </w:r>
      <w:r w:rsidR="004D5468">
        <w:rPr>
          <w:rFonts w:hint="eastAsia"/>
        </w:rPr>
        <w:t>）监测工作业绩；（</w:t>
      </w:r>
      <w:r w:rsidR="004D5468">
        <w:rPr>
          <w:rFonts w:hint="eastAsia"/>
        </w:rPr>
        <w:t>3</w:t>
      </w:r>
      <w:r w:rsidR="004D5468">
        <w:rPr>
          <w:rFonts w:hint="eastAsia"/>
        </w:rPr>
        <w:t>）负责关键管理事项；（</w:t>
      </w:r>
      <w:r w:rsidR="004D5468">
        <w:rPr>
          <w:rFonts w:hint="eastAsia"/>
        </w:rPr>
        <w:t>4</w:t>
      </w:r>
      <w:r w:rsidR="004D5468">
        <w:rPr>
          <w:rFonts w:hint="eastAsia"/>
        </w:rPr>
        <w:t>）确保经营的安全性和稳健性；（</w:t>
      </w:r>
      <w:r w:rsidR="004D5468">
        <w:rPr>
          <w:rFonts w:hint="eastAsia"/>
        </w:rPr>
        <w:t>5</w:t>
      </w:r>
      <w:r w:rsidR="004D5468">
        <w:rPr>
          <w:rFonts w:hint="eastAsia"/>
        </w:rPr>
        <w:t>）其他公司治理事项。</w:t>
      </w:r>
    </w:p>
    <w:p w:rsidR="004D5468" w:rsidRDefault="004D5468" w:rsidP="002A10AD">
      <w:r>
        <w:rPr>
          <w:rFonts w:hint="eastAsia"/>
        </w:rPr>
        <w:t>高级管理层将负责绿色投资银行的日常运营，它的职责包括：（</w:t>
      </w:r>
      <w:r>
        <w:rPr>
          <w:rFonts w:hint="eastAsia"/>
        </w:rPr>
        <w:t>1</w:t>
      </w:r>
      <w:r>
        <w:rPr>
          <w:rFonts w:hint="eastAsia"/>
        </w:rPr>
        <w:t>）制定长期和短期战略；（</w:t>
      </w:r>
      <w:r>
        <w:rPr>
          <w:rFonts w:hint="eastAsia"/>
        </w:rPr>
        <w:t>2</w:t>
      </w:r>
      <w:r>
        <w:rPr>
          <w:rFonts w:hint="eastAsia"/>
        </w:rPr>
        <w:t>）制定投资评估标准；（</w:t>
      </w:r>
      <w:r>
        <w:rPr>
          <w:rFonts w:hint="eastAsia"/>
        </w:rPr>
        <w:t>3</w:t>
      </w:r>
      <w:r>
        <w:rPr>
          <w:rFonts w:hint="eastAsia"/>
        </w:rPr>
        <w:t>）绩效管理；（</w:t>
      </w:r>
      <w:r>
        <w:rPr>
          <w:rFonts w:hint="eastAsia"/>
        </w:rPr>
        <w:t>4</w:t>
      </w:r>
      <w:r>
        <w:rPr>
          <w:rFonts w:hint="eastAsia"/>
        </w:rPr>
        <w:t>）制定</w:t>
      </w:r>
      <w:r w:rsidR="002A1799">
        <w:rPr>
          <w:rFonts w:hint="eastAsia"/>
        </w:rPr>
        <w:t>对外报表</w:t>
      </w:r>
      <w:r>
        <w:rPr>
          <w:rFonts w:hint="eastAsia"/>
        </w:rPr>
        <w:t>。</w:t>
      </w:r>
    </w:p>
    <w:p w:rsidR="009270DA" w:rsidRDefault="00D60A5C" w:rsidP="002A10AD">
      <w:r>
        <w:rPr>
          <w:rFonts w:hint="eastAsia"/>
        </w:rPr>
        <w:t>绿色投资银行的公司治理章程由</w:t>
      </w:r>
      <w:r w:rsidR="00315AF0">
        <w:rPr>
          <w:rFonts w:hint="eastAsia"/>
        </w:rPr>
        <w:t>《</w:t>
      </w:r>
      <w:r>
        <w:rPr>
          <w:rFonts w:hint="eastAsia"/>
        </w:rPr>
        <w:t>章程细则</w:t>
      </w:r>
      <w:r w:rsidR="00315AF0">
        <w:rPr>
          <w:rFonts w:hint="eastAsia"/>
        </w:rPr>
        <w:t>》</w:t>
      </w:r>
      <w:r>
        <w:rPr>
          <w:rFonts w:hint="eastAsia"/>
        </w:rPr>
        <w:t>和</w:t>
      </w:r>
      <w:r w:rsidR="00315AF0">
        <w:rPr>
          <w:rFonts w:hint="eastAsia"/>
        </w:rPr>
        <w:t>《</w:t>
      </w:r>
      <w:r>
        <w:rPr>
          <w:rFonts w:hint="eastAsia"/>
        </w:rPr>
        <w:t>股东关系框架性文件</w:t>
      </w:r>
      <w:r w:rsidR="00315AF0">
        <w:rPr>
          <w:rFonts w:hint="eastAsia"/>
        </w:rPr>
        <w:t>》</w:t>
      </w:r>
      <w:r>
        <w:rPr>
          <w:rFonts w:hint="eastAsia"/>
        </w:rPr>
        <w:t>组成。</w:t>
      </w:r>
      <w:r w:rsidR="00315AF0">
        <w:rPr>
          <w:rFonts w:hint="eastAsia"/>
        </w:rPr>
        <w:t>《</w:t>
      </w:r>
      <w:r>
        <w:rPr>
          <w:rFonts w:hint="eastAsia"/>
        </w:rPr>
        <w:t>股东关系框架性文件</w:t>
      </w:r>
      <w:r w:rsidR="00315AF0">
        <w:rPr>
          <w:rFonts w:hint="eastAsia"/>
        </w:rPr>
        <w:t>》</w:t>
      </w:r>
      <w:r>
        <w:rPr>
          <w:rFonts w:hint="eastAsia"/>
        </w:rPr>
        <w:t>要求绿色投资银行按照公司治理的最佳实践和《</w:t>
      </w:r>
      <w:r>
        <w:rPr>
          <w:rFonts w:hint="eastAsia"/>
        </w:rPr>
        <w:t>2012</w:t>
      </w:r>
      <w:r>
        <w:rPr>
          <w:rFonts w:hint="eastAsia"/>
        </w:rPr>
        <w:t>年英国公司治理准则》实施公司治理。董事会作为公司治理的关键部分，将确保公司治理的</w:t>
      </w:r>
      <w:r w:rsidR="008C5580">
        <w:rPr>
          <w:rFonts w:hint="eastAsia"/>
        </w:rPr>
        <w:t>问责制、透明度和廉洁性，并确保绿色投资银行在长时间内取得成功。</w:t>
      </w:r>
    </w:p>
    <w:p w:rsidR="00267DB3" w:rsidRDefault="00267DB3" w:rsidP="002A10AD">
      <w:r>
        <w:rPr>
          <w:rFonts w:hint="eastAsia"/>
        </w:rPr>
        <w:t>根据公司章程，董事会由不少于八名董事组成，董事会主席与独立非执行董事需要占据超过半数的董事会席位。董事会下属多个委员会，负责公司治理的具体事项。</w:t>
      </w:r>
      <w:r w:rsidR="00CF114F">
        <w:rPr>
          <w:rFonts w:hint="eastAsia"/>
        </w:rPr>
        <w:t>绿色投资银行的董事会结构如下图</w:t>
      </w:r>
      <w:r w:rsidR="00ED77FD">
        <w:rPr>
          <w:rFonts w:hint="eastAsia"/>
        </w:rPr>
        <w:t>。其中，绿色董事委员会将负责评估、监督和汇报绿色</w:t>
      </w:r>
      <w:r w:rsidR="003004B0">
        <w:rPr>
          <w:rFonts w:hint="eastAsia"/>
        </w:rPr>
        <w:t>投资银行的绿色影响，并制定了绿色投资框架。</w:t>
      </w:r>
      <w:r w:rsidR="00ED77FD">
        <w:rPr>
          <w:rFonts w:hint="eastAsia"/>
        </w:rPr>
        <w:t>该框架</w:t>
      </w:r>
      <w:r w:rsidR="003004B0">
        <w:rPr>
          <w:rFonts w:hint="eastAsia"/>
        </w:rPr>
        <w:t>将绿色</w:t>
      </w:r>
      <w:r w:rsidR="003004B0">
        <w:rPr>
          <w:rFonts w:hint="eastAsia"/>
        </w:rPr>
        <w:lastRenderedPageBreak/>
        <w:t>投资银行的五项绿色目标转化成日常工作中可实行的政策，</w:t>
      </w:r>
      <w:r w:rsidR="00ED77FD">
        <w:rPr>
          <w:rFonts w:hint="eastAsia"/>
        </w:rPr>
        <w:t>包括以下四项</w:t>
      </w:r>
      <w:r w:rsidR="003004B0">
        <w:rPr>
          <w:rFonts w:hint="eastAsia"/>
        </w:rPr>
        <w:t>准则或政策：（</w:t>
      </w:r>
      <w:r w:rsidR="003004B0">
        <w:rPr>
          <w:rFonts w:hint="eastAsia"/>
        </w:rPr>
        <w:t>1</w:t>
      </w:r>
      <w:r w:rsidR="003004B0">
        <w:rPr>
          <w:rFonts w:hint="eastAsia"/>
        </w:rPr>
        <w:t>）绿色投资准则；（</w:t>
      </w:r>
      <w:r w:rsidR="003004B0">
        <w:rPr>
          <w:rFonts w:hint="eastAsia"/>
        </w:rPr>
        <w:t>2</w:t>
      </w:r>
      <w:r w:rsidR="003004B0">
        <w:rPr>
          <w:rFonts w:hint="eastAsia"/>
        </w:rPr>
        <w:t>）绿色投资政策；（</w:t>
      </w:r>
      <w:r w:rsidR="003004B0">
        <w:rPr>
          <w:rFonts w:hint="eastAsia"/>
        </w:rPr>
        <w:t>3</w:t>
      </w:r>
      <w:r w:rsidR="003004B0">
        <w:rPr>
          <w:rFonts w:hint="eastAsia"/>
        </w:rPr>
        <w:t>）负责任投资政策；（</w:t>
      </w:r>
      <w:r w:rsidR="003004B0">
        <w:rPr>
          <w:rFonts w:hint="eastAsia"/>
        </w:rPr>
        <w:t>4</w:t>
      </w:r>
      <w:r w:rsidR="003004B0">
        <w:rPr>
          <w:rFonts w:hint="eastAsia"/>
        </w:rPr>
        <w:t>）公司环境政策。</w:t>
      </w:r>
    </w:p>
    <w:p w:rsidR="00CF5B23" w:rsidRDefault="00404660" w:rsidP="00820204">
      <w:pPr>
        <w:pStyle w:val="Heading3"/>
      </w:pPr>
      <w:r>
        <w:rPr>
          <w:rFonts w:hint="eastAsia"/>
          <w:noProof/>
        </w:rPr>
        <w:drawing>
          <wp:anchor distT="0" distB="0" distL="114300" distR="114300" simplePos="0" relativeHeight="251662848" behindDoc="0" locked="0" layoutInCell="1" allowOverlap="1">
            <wp:simplePos x="0" y="0"/>
            <wp:positionH relativeFrom="column">
              <wp:posOffset>-8890</wp:posOffset>
            </wp:positionH>
            <wp:positionV relativeFrom="paragraph">
              <wp:posOffset>3570605</wp:posOffset>
            </wp:positionV>
            <wp:extent cx="5732145" cy="2319655"/>
            <wp:effectExtent l="0" t="0" r="190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cstate="print">
                      <a:extLst>
                        <a:ext uri="{BEBA8EAE-BF5A-486C-A8C5-ECC9F3942E4B}">
                          <a14:imgProps xmlns:a14="http://schemas.microsoft.com/office/drawing/2010/main">
                            <a14:imgLayer r:embed="rId15">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5732145" cy="2319655"/>
                    </a:xfrm>
                    <a:prstGeom prst="rect">
                      <a:avLst/>
                    </a:prstGeom>
                  </pic:spPr>
                </pic:pic>
              </a:graphicData>
            </a:graphic>
          </wp:anchor>
        </w:drawing>
      </w:r>
      <w:r w:rsidR="00AB0B82">
        <w:rPr>
          <w:noProof/>
        </w:rPr>
        <w:drawing>
          <wp:anchor distT="0" distB="0" distL="114300" distR="114300" simplePos="0" relativeHeight="251661824" behindDoc="0" locked="0" layoutInCell="1" allowOverlap="1">
            <wp:simplePos x="0" y="0"/>
            <wp:positionH relativeFrom="column">
              <wp:posOffset>20955</wp:posOffset>
            </wp:positionH>
            <wp:positionV relativeFrom="paragraph">
              <wp:posOffset>41910</wp:posOffset>
            </wp:positionV>
            <wp:extent cx="5688330" cy="2955290"/>
            <wp:effectExtent l="0" t="0" r="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857DDE">
        <w:rPr>
          <w:rFonts w:hint="eastAsia"/>
        </w:rPr>
        <w:t>2</w:t>
      </w:r>
      <w:r w:rsidR="00857DDE">
        <w:rPr>
          <w:rFonts w:hint="eastAsia"/>
        </w:rPr>
        <w:t>、</w:t>
      </w:r>
      <w:r w:rsidR="00857DDE" w:rsidRPr="00857DDE">
        <w:rPr>
          <w:rFonts w:hint="eastAsia"/>
        </w:rPr>
        <w:t>澳大利亚清洁能源金融公司</w:t>
      </w:r>
    </w:p>
    <w:p w:rsidR="00404660" w:rsidRDefault="00404660" w:rsidP="00404660">
      <w:pPr>
        <w:jc w:val="center"/>
      </w:pPr>
    </w:p>
    <w:p w:rsidR="00404660" w:rsidRDefault="00DF54CA" w:rsidP="00193797">
      <w:pPr>
        <w:jc w:val="left"/>
      </w:pPr>
      <w:r>
        <w:rPr>
          <w:rFonts w:hint="eastAsia"/>
        </w:rPr>
        <w:t>澳大利亚的《</w:t>
      </w:r>
      <w:r>
        <w:rPr>
          <w:rFonts w:hint="eastAsia"/>
        </w:rPr>
        <w:t>2012</w:t>
      </w:r>
      <w:r>
        <w:rPr>
          <w:rFonts w:hint="eastAsia"/>
        </w:rPr>
        <w:t>年清洁能源金融法案》和《</w:t>
      </w:r>
      <w:r>
        <w:rPr>
          <w:rFonts w:hint="eastAsia"/>
        </w:rPr>
        <w:t>1997</w:t>
      </w:r>
      <w:r>
        <w:rPr>
          <w:rFonts w:hint="eastAsia"/>
        </w:rPr>
        <w:t>年联邦机构和公司法案》确立了清洁能源金融公司的治理结构和宏观治理方案。</w:t>
      </w:r>
      <w:r w:rsidRPr="00DF54CA">
        <w:rPr>
          <w:rFonts w:hint="eastAsia"/>
        </w:rPr>
        <w:t>《</w:t>
      </w:r>
      <w:r w:rsidRPr="00DF54CA">
        <w:rPr>
          <w:rFonts w:hint="eastAsia"/>
        </w:rPr>
        <w:t>2012</w:t>
      </w:r>
      <w:r w:rsidRPr="00DF54CA">
        <w:rPr>
          <w:rFonts w:hint="eastAsia"/>
        </w:rPr>
        <w:t>年清洁能源金融法案》</w:t>
      </w:r>
      <w:r>
        <w:rPr>
          <w:rFonts w:hint="eastAsia"/>
        </w:rPr>
        <w:t>规定了清洁能源金融公司</w:t>
      </w:r>
      <w:r>
        <w:rPr>
          <w:rFonts w:hint="eastAsia"/>
        </w:rPr>
        <w:lastRenderedPageBreak/>
        <w:t>由董事会</w:t>
      </w:r>
      <w:r w:rsidR="00F7786F">
        <w:rPr>
          <w:rFonts w:hint="eastAsia"/>
        </w:rPr>
        <w:t>与财政部长和金融部长商议后，</w:t>
      </w:r>
      <w:r>
        <w:rPr>
          <w:rFonts w:hint="eastAsia"/>
        </w:rPr>
        <w:t>聘用首席执行官进行公司治理。董事会由董事会主席和</w:t>
      </w:r>
      <w:r>
        <w:rPr>
          <w:rFonts w:hint="eastAsia"/>
        </w:rPr>
        <w:t>4-6</w:t>
      </w:r>
      <w:r w:rsidR="00BE765A">
        <w:rPr>
          <w:rFonts w:hint="eastAsia"/>
        </w:rPr>
        <w:t>名</w:t>
      </w:r>
      <w:r>
        <w:rPr>
          <w:rFonts w:hint="eastAsia"/>
        </w:rPr>
        <w:t>董事成员组成。</w:t>
      </w:r>
      <w:r w:rsidR="00F7786F" w:rsidRPr="00F7786F">
        <w:rPr>
          <w:rFonts w:hint="eastAsia"/>
        </w:rPr>
        <w:t>《</w:t>
      </w:r>
      <w:r w:rsidR="00F7786F" w:rsidRPr="00F7786F">
        <w:rPr>
          <w:rFonts w:hint="eastAsia"/>
        </w:rPr>
        <w:t>1997</w:t>
      </w:r>
      <w:r w:rsidR="00F7786F" w:rsidRPr="00F7786F">
        <w:rPr>
          <w:rFonts w:hint="eastAsia"/>
        </w:rPr>
        <w:t>年联邦机构和公司法案</w:t>
      </w:r>
      <w:r w:rsidR="00F7786F">
        <w:rPr>
          <w:rFonts w:hint="eastAsia"/>
        </w:rPr>
        <w:t>》确定了董事会和高级管理人员的具体职责，并规定审计委员会作为清洁能源金融公司的内部监管机构、澳大利亚国家审计署作为外部监管机构。</w:t>
      </w:r>
    </w:p>
    <w:p w:rsidR="00820204" w:rsidRDefault="00820204" w:rsidP="002A10AD">
      <w:r>
        <w:rPr>
          <w:rFonts w:hint="eastAsia"/>
        </w:rPr>
        <w:t>澳大利亚清洁能源公司董事会下属四个委员会用于制定公司相关政策，包括：（</w:t>
      </w:r>
      <w:r>
        <w:rPr>
          <w:rFonts w:hint="eastAsia"/>
        </w:rPr>
        <w:t>1</w:t>
      </w:r>
      <w:r>
        <w:rPr>
          <w:rFonts w:hint="eastAsia"/>
        </w:rPr>
        <w:t>）审计委员会；（</w:t>
      </w:r>
      <w:r>
        <w:rPr>
          <w:rFonts w:hint="eastAsia"/>
        </w:rPr>
        <w:t>2</w:t>
      </w:r>
      <w:r>
        <w:rPr>
          <w:rFonts w:hint="eastAsia"/>
        </w:rPr>
        <w:t>）风险管理委员会；（</w:t>
      </w:r>
      <w:r>
        <w:rPr>
          <w:rFonts w:hint="eastAsia"/>
        </w:rPr>
        <w:t>3</w:t>
      </w:r>
      <w:r>
        <w:rPr>
          <w:rFonts w:hint="eastAsia"/>
        </w:rPr>
        <w:t>）薪酬委员会；（</w:t>
      </w:r>
      <w:r>
        <w:rPr>
          <w:rFonts w:hint="eastAsia"/>
        </w:rPr>
        <w:t>4</w:t>
      </w:r>
      <w:r>
        <w:rPr>
          <w:rFonts w:hint="eastAsia"/>
        </w:rPr>
        <w:t>）人力资源委员会。董事会和董事委员会并不直接参与公司日常管理和运营，而是由董事会任命的首席执行官负责。</w:t>
      </w:r>
    </w:p>
    <w:p w:rsidR="00820204" w:rsidRDefault="00820204" w:rsidP="00F07CA0">
      <w:pPr>
        <w:pStyle w:val="Heading2"/>
      </w:pPr>
      <w:r>
        <w:rPr>
          <w:rFonts w:hint="eastAsia"/>
        </w:rPr>
        <w:t>（二）风险管理</w:t>
      </w:r>
    </w:p>
    <w:p w:rsidR="00BE765A" w:rsidRPr="00BE765A" w:rsidRDefault="00BE765A" w:rsidP="00BE765A">
      <w:pPr>
        <w:ind w:firstLine="0"/>
      </w:pPr>
      <w:r>
        <w:tab/>
      </w:r>
      <w:r>
        <w:rPr>
          <w:rFonts w:hint="eastAsia"/>
        </w:rPr>
        <w:t>与</w:t>
      </w:r>
      <w:r>
        <w:t>普通银行相比，绿色银行面临的风险更多</w:t>
      </w:r>
      <w:r>
        <w:rPr>
          <w:rFonts w:hint="eastAsia"/>
        </w:rPr>
        <w:t>。</w:t>
      </w:r>
      <w:r>
        <w:t>下文</w:t>
      </w:r>
      <w:r>
        <w:rPr>
          <w:rFonts w:hint="eastAsia"/>
        </w:rPr>
        <w:t>列举</w:t>
      </w:r>
      <w:r>
        <w:t>了</w:t>
      </w:r>
      <w:r>
        <w:rPr>
          <w:rFonts w:hint="eastAsia"/>
        </w:rPr>
        <w:t>绿色</w:t>
      </w:r>
      <w:r>
        <w:t>银行面临的三项主要风险：</w:t>
      </w:r>
    </w:p>
    <w:p w:rsidR="00820204" w:rsidRDefault="00557A0F" w:rsidP="00F424C9">
      <w:pPr>
        <w:pStyle w:val="Heading3"/>
      </w:pPr>
      <w:r>
        <w:rPr>
          <w:rFonts w:hint="eastAsia"/>
        </w:rPr>
        <w:t>1</w:t>
      </w:r>
      <w:r w:rsidR="00513F5E">
        <w:rPr>
          <w:rFonts w:hint="eastAsia"/>
        </w:rPr>
        <w:t>、交易对手风险</w:t>
      </w:r>
    </w:p>
    <w:p w:rsidR="00513F5E" w:rsidRDefault="00513F5E" w:rsidP="002A10AD">
      <w:r>
        <w:rPr>
          <w:rFonts w:hint="eastAsia"/>
        </w:rPr>
        <w:t>交易对手风险是指交易对手未能履行契约中约定的义务而造成</w:t>
      </w:r>
      <w:r w:rsidR="00BE765A">
        <w:rPr>
          <w:rFonts w:hint="eastAsia"/>
        </w:rPr>
        <w:t>绿色</w:t>
      </w:r>
      <w:r w:rsidR="00BE765A">
        <w:t>银行</w:t>
      </w:r>
      <w:r w:rsidR="00BE765A">
        <w:rPr>
          <w:rFonts w:hint="eastAsia"/>
        </w:rPr>
        <w:t>经济损失的风险。绿色银行与交易对手</w:t>
      </w:r>
      <w:r>
        <w:rPr>
          <w:rFonts w:hint="eastAsia"/>
        </w:rPr>
        <w:t>发生交易时，就不可避免的暴露在这种风险中。在投资组合层面，通过分散投资，可以减小风险。但是绿色银行的特殊性决定了它仅能投资于有限的</w:t>
      </w:r>
      <w:r w:rsidR="00BE765A">
        <w:rPr>
          <w:rFonts w:hint="eastAsia"/>
        </w:rPr>
        <w:t>绿色</w:t>
      </w:r>
      <w:r>
        <w:rPr>
          <w:rFonts w:hint="eastAsia"/>
        </w:rPr>
        <w:t>行业和</w:t>
      </w:r>
      <w:r w:rsidR="00BE765A">
        <w:rPr>
          <w:rFonts w:hint="eastAsia"/>
        </w:rPr>
        <w:t>绿色</w:t>
      </w:r>
      <w:r>
        <w:rPr>
          <w:rFonts w:hint="eastAsia"/>
        </w:rPr>
        <w:t>资产类别，而不能充分分散投资。例如，绿色银行的目标是</w:t>
      </w:r>
      <w:r w:rsidR="004D5CCC">
        <w:rPr>
          <w:rFonts w:hint="eastAsia"/>
        </w:rPr>
        <w:t>促进绿色经济的发展，因而通常仅投资于可再</w:t>
      </w:r>
      <w:r w:rsidR="004D5CCC">
        <w:rPr>
          <w:rFonts w:hint="eastAsia"/>
        </w:rPr>
        <w:lastRenderedPageBreak/>
        <w:t>生能源、节能及其他少数行业。当整体行业的系统性风险上升时，绿色银行将很难规避</w:t>
      </w:r>
      <w:r w:rsidR="00BE765A">
        <w:rPr>
          <w:rFonts w:hint="eastAsia"/>
        </w:rPr>
        <w:t>风险</w:t>
      </w:r>
      <w:r w:rsidR="004D5CCC">
        <w:rPr>
          <w:rFonts w:hint="eastAsia"/>
        </w:rPr>
        <w:t>。</w:t>
      </w:r>
    </w:p>
    <w:p w:rsidR="004D5CCC" w:rsidRDefault="004D5CCC" w:rsidP="00F424C9">
      <w:pPr>
        <w:pStyle w:val="Heading3"/>
      </w:pPr>
      <w:r>
        <w:rPr>
          <w:rFonts w:hint="eastAsia"/>
        </w:rPr>
        <w:t>2</w:t>
      </w:r>
      <w:r>
        <w:rPr>
          <w:rFonts w:hint="eastAsia"/>
        </w:rPr>
        <w:t>、市场风险</w:t>
      </w:r>
    </w:p>
    <w:p w:rsidR="004D5CCC" w:rsidRDefault="004D5CCC" w:rsidP="002A10AD">
      <w:r>
        <w:rPr>
          <w:rFonts w:hint="eastAsia"/>
        </w:rPr>
        <w:t>对于绿色银行而言，市场风险主要是指能源价格和电力价格的变动。</w:t>
      </w:r>
      <w:r w:rsidR="00F424C9">
        <w:rPr>
          <w:rFonts w:hint="eastAsia"/>
        </w:rPr>
        <w:t>由于绿色银行投资的主要领域是可再生能源和节能，当传统能源价格或电力价格下降时，将会对借款方的偿还能力造成负面影响。这是因为借款方往往是依靠可再生能源发电的利润或节能所带来的利润偿还贷款。当传统能源价格下降时，可再生能源或节能的相对竞争力就会下降；当电力价格下降时，可再生能源或节能所产生的利润将下降、甚至导致亏损。</w:t>
      </w:r>
    </w:p>
    <w:p w:rsidR="00F424C9" w:rsidRDefault="00F424C9" w:rsidP="00F424C9">
      <w:pPr>
        <w:pStyle w:val="Heading3"/>
      </w:pPr>
      <w:r>
        <w:rPr>
          <w:rFonts w:hint="eastAsia"/>
        </w:rPr>
        <w:t>3</w:t>
      </w:r>
      <w:r w:rsidR="008234CE">
        <w:rPr>
          <w:rFonts w:hint="eastAsia"/>
        </w:rPr>
        <w:t>、技术</w:t>
      </w:r>
      <w:r>
        <w:rPr>
          <w:rFonts w:hint="eastAsia"/>
        </w:rPr>
        <w:t>风险</w:t>
      </w:r>
    </w:p>
    <w:p w:rsidR="008234CE" w:rsidRPr="008234CE" w:rsidRDefault="008234CE" w:rsidP="002A10AD">
      <w:r>
        <w:rPr>
          <w:rFonts w:hint="eastAsia"/>
        </w:rPr>
        <w:t>技术风险是指当一项技术没有按照预期工作时所带来的损失，这种风险可存在于</w:t>
      </w:r>
      <w:r w:rsidR="00C3205F">
        <w:rPr>
          <w:rFonts w:hint="eastAsia"/>
        </w:rPr>
        <w:t>以</w:t>
      </w:r>
      <w:r w:rsidR="00C3205F">
        <w:t>该技术为基础的</w:t>
      </w:r>
      <w:r w:rsidR="00C3205F">
        <w:rPr>
          <w:rFonts w:hint="eastAsia"/>
        </w:rPr>
        <w:t>项目</w:t>
      </w:r>
      <w:r>
        <w:rPr>
          <w:rFonts w:hint="eastAsia"/>
        </w:rPr>
        <w:t>设计、工程施工和</w:t>
      </w:r>
      <w:r w:rsidR="00C3205F">
        <w:rPr>
          <w:rFonts w:hint="eastAsia"/>
        </w:rPr>
        <w:t>项目</w:t>
      </w:r>
      <w:r>
        <w:rPr>
          <w:rFonts w:hint="eastAsia"/>
        </w:rPr>
        <w:t>运行</w:t>
      </w:r>
      <w:r w:rsidR="00C3205F">
        <w:rPr>
          <w:rFonts w:hint="eastAsia"/>
        </w:rPr>
        <w:t>中</w:t>
      </w:r>
      <w:r>
        <w:rPr>
          <w:rFonts w:hint="eastAsia"/>
        </w:rPr>
        <w:t>。绿色银行着重投资的几个领域，如可再生能源和节能技术等都存在不同程度的技术风险。技术风险还包括使用某种特定技术所带来的监管风险。除了整体技术风险，每个单独项目还涉及自身业绩表现不佳的</w:t>
      </w:r>
      <w:r w:rsidR="00BE765A">
        <w:rPr>
          <w:rFonts w:hint="eastAsia"/>
        </w:rPr>
        <w:t>项目</w:t>
      </w:r>
      <w:r>
        <w:rPr>
          <w:rFonts w:hint="eastAsia"/>
        </w:rPr>
        <w:t>风险，例如，施工或安装延误等。</w:t>
      </w:r>
    </w:p>
    <w:p w:rsidR="00F424C9" w:rsidRDefault="003A0229" w:rsidP="002A10AD">
      <w:r>
        <w:rPr>
          <w:rFonts w:hint="eastAsia"/>
        </w:rPr>
        <w:t>从以上</w:t>
      </w:r>
      <w:r w:rsidR="0050227A">
        <w:rPr>
          <w:rFonts w:hint="eastAsia"/>
        </w:rPr>
        <w:t>的风险分析中可以发现，绿色银行相比于普通银行，风险暴露程度更大。因此，建立良好的风险管理体系对绿色银行长久的运营和健康发展至关重要。</w:t>
      </w:r>
      <w:r w:rsidR="00373DC9">
        <w:rPr>
          <w:rFonts w:hint="eastAsia"/>
        </w:rPr>
        <w:t>风险管理和内部控制应该成为绿色银行公司治理的核心部分。</w:t>
      </w:r>
    </w:p>
    <w:p w:rsidR="00373DC9" w:rsidRDefault="00373DC9" w:rsidP="002A10AD">
      <w:r>
        <w:rPr>
          <w:rFonts w:hint="eastAsia"/>
        </w:rPr>
        <w:lastRenderedPageBreak/>
        <w:t>以英国绿色投资</w:t>
      </w:r>
      <w:r w:rsidR="005378F7">
        <w:rPr>
          <w:rFonts w:hint="eastAsia"/>
        </w:rPr>
        <w:t>银行为例，董事会通过建立</w:t>
      </w:r>
      <w:r w:rsidR="00694FFE">
        <w:rPr>
          <w:rFonts w:hint="eastAsia"/>
        </w:rPr>
        <w:t>报告架构评估</w:t>
      </w:r>
      <w:r>
        <w:rPr>
          <w:rFonts w:hint="eastAsia"/>
        </w:rPr>
        <w:t>风险管理和内部控制</w:t>
      </w:r>
      <w:r w:rsidR="00694FFE">
        <w:rPr>
          <w:rFonts w:hint="eastAsia"/>
        </w:rPr>
        <w:t>的有效性。高级管理层需要向董事会汇报建立和监控风险管理和内部控制事宜。董事会</w:t>
      </w:r>
      <w:r w:rsidR="005378F7">
        <w:rPr>
          <w:rFonts w:hint="eastAsia"/>
        </w:rPr>
        <w:t>还成立了三</w:t>
      </w:r>
      <w:r w:rsidR="00327C51">
        <w:rPr>
          <w:rFonts w:hint="eastAsia"/>
        </w:rPr>
        <w:t>个</w:t>
      </w:r>
      <w:r w:rsidR="005378F7">
        <w:rPr>
          <w:rFonts w:hint="eastAsia"/>
        </w:rPr>
        <w:t>执行委员会负责制定风险管理制度并监督风险管理，</w:t>
      </w:r>
      <w:r w:rsidR="005378F7">
        <w:t>分别是（</w:t>
      </w:r>
      <w:r w:rsidR="005378F7">
        <w:rPr>
          <w:rFonts w:hint="eastAsia"/>
        </w:rPr>
        <w:t>1</w:t>
      </w:r>
      <w:r w:rsidR="005378F7">
        <w:t>）</w:t>
      </w:r>
      <w:r w:rsidR="005378F7">
        <w:rPr>
          <w:rFonts w:hint="eastAsia"/>
        </w:rPr>
        <w:t>投资</w:t>
      </w:r>
      <w:r w:rsidR="005378F7">
        <w:t>委员会；（</w:t>
      </w:r>
      <w:r w:rsidR="005378F7">
        <w:rPr>
          <w:rFonts w:hint="eastAsia"/>
        </w:rPr>
        <w:t>2</w:t>
      </w:r>
      <w:r w:rsidR="005378F7">
        <w:t>）</w:t>
      </w:r>
      <w:r w:rsidR="005378F7">
        <w:rPr>
          <w:rFonts w:hint="eastAsia"/>
        </w:rPr>
        <w:t>风险</w:t>
      </w:r>
      <w:r w:rsidR="005378F7">
        <w:t>和合规委员会；（</w:t>
      </w:r>
      <w:r w:rsidR="005378F7">
        <w:rPr>
          <w:rFonts w:hint="eastAsia"/>
        </w:rPr>
        <w:t>3</w:t>
      </w:r>
      <w:r w:rsidR="005378F7">
        <w:t>）</w:t>
      </w:r>
      <w:r w:rsidR="005378F7">
        <w:rPr>
          <w:rFonts w:hint="eastAsia"/>
        </w:rPr>
        <w:t>投资组合</w:t>
      </w:r>
      <w:r w:rsidR="005378F7">
        <w:t>管理委员会。</w:t>
      </w:r>
    </w:p>
    <w:p w:rsidR="00694FFE" w:rsidRDefault="00694FFE" w:rsidP="002A10AD">
      <w:r>
        <w:rPr>
          <w:rFonts w:hint="eastAsia"/>
        </w:rPr>
        <w:t>投资委员会由首席法律顾问担任主</w:t>
      </w:r>
      <w:r w:rsidR="005378F7">
        <w:rPr>
          <w:rFonts w:hint="eastAsia"/>
        </w:rPr>
        <w:t>席，在审核</w:t>
      </w:r>
      <w:r>
        <w:rPr>
          <w:rFonts w:hint="eastAsia"/>
        </w:rPr>
        <w:t>所有投资决策后才会向首席执行官提出建议。所有超过</w:t>
      </w:r>
      <w:r>
        <w:rPr>
          <w:rFonts w:hint="eastAsia"/>
        </w:rPr>
        <w:t>4.7</w:t>
      </w:r>
      <w:r>
        <w:rPr>
          <w:rFonts w:hint="eastAsia"/>
        </w:rPr>
        <w:t>亿元人民币（</w:t>
      </w:r>
      <w:r>
        <w:rPr>
          <w:rFonts w:hint="eastAsia"/>
        </w:rPr>
        <w:t>5000</w:t>
      </w:r>
      <w:r>
        <w:rPr>
          <w:rFonts w:hint="eastAsia"/>
        </w:rPr>
        <w:t>万英镑）的投资需要全体董事会通过；所有超过</w:t>
      </w:r>
      <w:r>
        <w:rPr>
          <w:rFonts w:hint="eastAsia"/>
        </w:rPr>
        <w:t>28</w:t>
      </w:r>
      <w:r>
        <w:rPr>
          <w:rFonts w:hint="eastAsia"/>
        </w:rPr>
        <w:t>亿元人民币（</w:t>
      </w:r>
      <w:r>
        <w:rPr>
          <w:rFonts w:hint="eastAsia"/>
        </w:rPr>
        <w:t>3</w:t>
      </w:r>
      <w:r>
        <w:rPr>
          <w:rFonts w:hint="eastAsia"/>
        </w:rPr>
        <w:t>亿英镑）的投资还需要股东批准。有三位非执行董事是投资委员会委员。</w:t>
      </w:r>
      <w:r w:rsidR="002447DE">
        <w:rPr>
          <w:rFonts w:hint="eastAsia"/>
        </w:rPr>
        <w:t>风险</w:t>
      </w:r>
      <w:r w:rsidR="002447DE">
        <w:t>与合规委员会负责评估运营风险、绿色风险、流动性风险和声誉风险，以及合规性和内部审计等职责。</w:t>
      </w:r>
      <w:r w:rsidR="002447DE">
        <w:rPr>
          <w:rFonts w:hint="eastAsia"/>
        </w:rPr>
        <w:t>投资</w:t>
      </w:r>
      <w:r w:rsidR="002447DE">
        <w:t>组合管理委员会负责评估绿色投资银行投资组合资产的风险</w:t>
      </w:r>
      <w:r w:rsidR="002447DE">
        <w:rPr>
          <w:rFonts w:hint="eastAsia"/>
        </w:rPr>
        <w:t>及其</w:t>
      </w:r>
      <w:r w:rsidR="002447DE">
        <w:t>趋势。</w:t>
      </w:r>
      <w:r w:rsidR="00451878">
        <w:rPr>
          <w:rFonts w:hint="eastAsia"/>
        </w:rPr>
        <w:t>风险</w:t>
      </w:r>
      <w:r w:rsidR="00451878">
        <w:t>与合规委员会和投资组合</w:t>
      </w:r>
      <w:r w:rsidR="00451878">
        <w:rPr>
          <w:rFonts w:hint="eastAsia"/>
        </w:rPr>
        <w:t>管理</w:t>
      </w:r>
      <w:r w:rsidR="00451878">
        <w:t>委员会由首席风险官担任主席，并</w:t>
      </w:r>
      <w:r w:rsidR="00451878">
        <w:rPr>
          <w:rFonts w:hint="eastAsia"/>
        </w:rPr>
        <w:t>向</w:t>
      </w:r>
      <w:r w:rsidR="00451878">
        <w:t>审计与风险董事委员会</w:t>
      </w:r>
      <w:r w:rsidR="00451878">
        <w:rPr>
          <w:rFonts w:hint="eastAsia"/>
        </w:rPr>
        <w:t>汇报</w:t>
      </w:r>
      <w:r w:rsidR="00451878">
        <w:t>。</w:t>
      </w:r>
    </w:p>
    <w:p w:rsidR="00694FFE" w:rsidRPr="00694FFE" w:rsidRDefault="00451878" w:rsidP="002A10AD">
      <w:r>
        <w:rPr>
          <w:rFonts w:hint="eastAsia"/>
        </w:rPr>
        <w:t>绿色</w:t>
      </w:r>
      <w:r>
        <w:t>银行</w:t>
      </w:r>
      <w:r w:rsidR="00F07CA0">
        <w:rPr>
          <w:rFonts w:hint="eastAsia"/>
        </w:rPr>
        <w:t>可</w:t>
      </w:r>
      <w:r w:rsidR="00F07CA0">
        <w:t>实施</w:t>
      </w:r>
      <w:r w:rsidR="00F07CA0">
        <w:rPr>
          <w:rFonts w:hint="eastAsia"/>
        </w:rPr>
        <w:t>“三层防线</w:t>
      </w:r>
      <w:r w:rsidR="00F07CA0">
        <w:t>”</w:t>
      </w:r>
      <w:r w:rsidR="00F07CA0">
        <w:rPr>
          <w:rFonts w:hint="eastAsia"/>
        </w:rPr>
        <w:t>的</w:t>
      </w:r>
      <w:r w:rsidR="00F07CA0">
        <w:t>风险管理模式。</w:t>
      </w:r>
      <w:r w:rsidR="00F07CA0">
        <w:rPr>
          <w:rFonts w:hint="eastAsia"/>
        </w:rPr>
        <w:t>业务</w:t>
      </w:r>
      <w:r w:rsidR="00F07CA0">
        <w:t>单元（</w:t>
      </w:r>
      <w:r w:rsidR="00F07CA0">
        <w:rPr>
          <w:rFonts w:hint="eastAsia"/>
        </w:rPr>
        <w:t>第一层</w:t>
      </w:r>
      <w:r w:rsidR="00F07CA0">
        <w:t>防线）</w:t>
      </w:r>
      <w:r w:rsidR="00F07CA0">
        <w:rPr>
          <w:rFonts w:hint="eastAsia"/>
        </w:rPr>
        <w:t>负责</w:t>
      </w:r>
      <w:r w:rsidR="00F07CA0">
        <w:t>在公司政策</w:t>
      </w:r>
      <w:r w:rsidR="00F07CA0">
        <w:rPr>
          <w:rFonts w:hint="eastAsia"/>
        </w:rPr>
        <w:t>范围</w:t>
      </w:r>
      <w:r w:rsidR="00F07CA0">
        <w:t>内管理自己的风险；</w:t>
      </w:r>
      <w:r w:rsidR="00F07CA0">
        <w:rPr>
          <w:rFonts w:hint="eastAsia"/>
        </w:rPr>
        <w:t>风险</w:t>
      </w:r>
      <w:r w:rsidR="00F07CA0">
        <w:t>管理和合规部门（</w:t>
      </w:r>
      <w:r w:rsidR="00F07CA0">
        <w:rPr>
          <w:rFonts w:hint="eastAsia"/>
        </w:rPr>
        <w:t>第二层</w:t>
      </w:r>
      <w:r w:rsidR="00F07CA0">
        <w:t>防线）</w:t>
      </w:r>
      <w:r w:rsidR="00F07CA0">
        <w:rPr>
          <w:rFonts w:hint="eastAsia"/>
        </w:rPr>
        <w:t>独立于</w:t>
      </w:r>
      <w:r w:rsidR="005378F7">
        <w:t>第一层防线，</w:t>
      </w:r>
      <w:r w:rsidR="00C3205F">
        <w:rPr>
          <w:rFonts w:hint="eastAsia"/>
        </w:rPr>
        <w:t>对</w:t>
      </w:r>
      <w:r w:rsidR="00327C51">
        <w:rPr>
          <w:rFonts w:hint="eastAsia"/>
        </w:rPr>
        <w:t>业务</w:t>
      </w:r>
      <w:r w:rsidR="00327C51">
        <w:t>单元</w:t>
      </w:r>
      <w:r w:rsidR="00F07CA0">
        <w:rPr>
          <w:rFonts w:hint="eastAsia"/>
        </w:rPr>
        <w:t>的</w:t>
      </w:r>
      <w:r w:rsidR="00F07CA0">
        <w:t>工作</w:t>
      </w:r>
      <w:r w:rsidR="00F07CA0">
        <w:rPr>
          <w:rFonts w:hint="eastAsia"/>
        </w:rPr>
        <w:t>提出</w:t>
      </w:r>
      <w:r w:rsidR="00F07CA0">
        <w:t>评论、质疑和建议</w:t>
      </w:r>
      <w:r w:rsidR="00F07CA0">
        <w:rPr>
          <w:rFonts w:hint="eastAsia"/>
        </w:rPr>
        <w:t>；内部</w:t>
      </w:r>
      <w:r w:rsidR="00F07CA0">
        <w:t>审计和外部审计（</w:t>
      </w:r>
      <w:r w:rsidR="00F07CA0">
        <w:rPr>
          <w:rFonts w:hint="eastAsia"/>
        </w:rPr>
        <w:t>第三层防线</w:t>
      </w:r>
      <w:r w:rsidR="00F07CA0">
        <w:t>）</w:t>
      </w:r>
      <w:r w:rsidR="00F07CA0">
        <w:rPr>
          <w:rFonts w:hint="eastAsia"/>
        </w:rPr>
        <w:t>独立于</w:t>
      </w:r>
      <w:r w:rsidR="00F07CA0">
        <w:t>第一、二层防线，负责评估</w:t>
      </w:r>
      <w:r w:rsidR="00F07CA0">
        <w:rPr>
          <w:rFonts w:hint="eastAsia"/>
        </w:rPr>
        <w:t>整体</w:t>
      </w:r>
      <w:r w:rsidR="00F07CA0">
        <w:t>风险管理框架的有效性。</w:t>
      </w:r>
    </w:p>
    <w:p w:rsidR="00E15545" w:rsidRPr="00087EA9" w:rsidRDefault="00F07CA0" w:rsidP="00B8676B">
      <w:pPr>
        <w:pStyle w:val="Heading1"/>
      </w:pPr>
      <w:r>
        <w:rPr>
          <w:rFonts w:hint="eastAsia"/>
        </w:rPr>
        <w:lastRenderedPageBreak/>
        <w:t>六</w:t>
      </w:r>
      <w:r>
        <w:t>、</w:t>
      </w:r>
      <w:r w:rsidR="00485668">
        <w:rPr>
          <w:rFonts w:hint="eastAsia"/>
        </w:rPr>
        <w:t>西方开办绿色银行的</w:t>
      </w:r>
      <w:r w:rsidR="000F3084">
        <w:rPr>
          <w:rFonts w:hint="eastAsia"/>
        </w:rPr>
        <w:t>经验</w:t>
      </w:r>
    </w:p>
    <w:p w:rsidR="00327C51" w:rsidRPr="00327C51" w:rsidRDefault="00327C51" w:rsidP="00C1467C">
      <w:pPr>
        <w:pStyle w:val="Heading2"/>
        <w:rPr>
          <w:rFonts w:ascii="仿宋" w:eastAsia="仿宋" w:hAnsi="仿宋"/>
        </w:rPr>
      </w:pPr>
      <w:r w:rsidRPr="00327C51">
        <w:rPr>
          <w:rFonts w:ascii="仿宋" w:eastAsia="仿宋" w:hAnsi="仿宋" w:hint="eastAsia"/>
        </w:rPr>
        <w:t>通过研究</w:t>
      </w:r>
      <w:r>
        <w:rPr>
          <w:rFonts w:ascii="仿宋" w:eastAsia="仿宋" w:hAnsi="仿宋" w:hint="eastAsia"/>
        </w:rPr>
        <w:t>以上</w:t>
      </w:r>
      <w:r w:rsidRPr="00327C51">
        <w:rPr>
          <w:rFonts w:ascii="仿宋" w:eastAsia="仿宋" w:hAnsi="仿宋" w:hint="eastAsia"/>
          <w:szCs w:val="32"/>
        </w:rPr>
        <w:t>两家</w:t>
      </w:r>
      <w:r w:rsidRPr="00327C51">
        <w:rPr>
          <w:rFonts w:ascii="仿宋" w:eastAsia="仿宋" w:hAnsi="仿宋"/>
          <w:szCs w:val="32"/>
        </w:rPr>
        <w:t>国家级绿色银行和三家省级绿色银行</w:t>
      </w:r>
      <w:r>
        <w:rPr>
          <w:rFonts w:ascii="仿宋" w:eastAsia="仿宋" w:hAnsi="仿宋" w:hint="eastAsia"/>
          <w:szCs w:val="32"/>
        </w:rPr>
        <w:t>，我们可以总结出</w:t>
      </w:r>
      <w:r w:rsidR="0099458F">
        <w:rPr>
          <w:rFonts w:ascii="仿宋" w:eastAsia="仿宋" w:hAnsi="仿宋" w:hint="eastAsia"/>
          <w:szCs w:val="32"/>
        </w:rPr>
        <w:t>西方国家开办</w:t>
      </w:r>
      <w:r>
        <w:rPr>
          <w:rFonts w:ascii="仿宋" w:eastAsia="仿宋" w:hAnsi="仿宋" w:hint="eastAsia"/>
          <w:szCs w:val="32"/>
        </w:rPr>
        <w:t>绿色银行的几个特点，并得到</w:t>
      </w:r>
      <w:r w:rsidR="00C3205F">
        <w:rPr>
          <w:rFonts w:ascii="仿宋" w:eastAsia="仿宋" w:hAnsi="仿宋" w:hint="eastAsia"/>
          <w:szCs w:val="32"/>
        </w:rPr>
        <w:t>一些</w:t>
      </w:r>
      <w:r w:rsidR="00C3205F">
        <w:rPr>
          <w:rFonts w:ascii="仿宋" w:eastAsia="仿宋" w:hAnsi="仿宋"/>
          <w:szCs w:val="32"/>
        </w:rPr>
        <w:t>可以</w:t>
      </w:r>
      <w:r>
        <w:rPr>
          <w:rFonts w:ascii="仿宋" w:eastAsia="仿宋" w:hAnsi="仿宋" w:hint="eastAsia"/>
          <w:szCs w:val="32"/>
        </w:rPr>
        <w:t>借鉴经验。</w:t>
      </w:r>
    </w:p>
    <w:p w:rsidR="00CD730B" w:rsidRDefault="0004601C" w:rsidP="00C1467C">
      <w:pPr>
        <w:pStyle w:val="Heading2"/>
      </w:pPr>
      <w:r>
        <w:rPr>
          <w:rFonts w:hint="eastAsia"/>
        </w:rPr>
        <w:t>（一</w:t>
      </w:r>
      <w:r>
        <w:t>）</w:t>
      </w:r>
      <w:r>
        <w:rPr>
          <w:rFonts w:hint="eastAsia"/>
        </w:rPr>
        <w:t>“政府</w:t>
      </w:r>
      <w:r>
        <w:t>主导、</w:t>
      </w:r>
      <w:r>
        <w:rPr>
          <w:rFonts w:hint="eastAsia"/>
        </w:rPr>
        <w:t>市场</w:t>
      </w:r>
      <w:r>
        <w:t>运作</w:t>
      </w:r>
      <w:r>
        <w:t>”</w:t>
      </w:r>
      <w:r>
        <w:rPr>
          <w:rFonts w:hint="eastAsia"/>
        </w:rPr>
        <w:t>的</w:t>
      </w:r>
      <w:r>
        <w:t>顶层</w:t>
      </w:r>
      <w:r w:rsidR="005B73E3">
        <w:t>设计原则</w:t>
      </w:r>
    </w:p>
    <w:p w:rsidR="000F3084" w:rsidRDefault="0004601C" w:rsidP="000F3084">
      <w:pPr>
        <w:rPr>
          <w:rFonts w:ascii="仿宋" w:hAnsi="仿宋"/>
          <w:szCs w:val="32"/>
        </w:rPr>
      </w:pPr>
      <w:r>
        <w:rPr>
          <w:rFonts w:ascii="仿宋" w:hAnsi="仿宋" w:hint="eastAsia"/>
          <w:szCs w:val="32"/>
        </w:rPr>
        <w:t>绿色</w:t>
      </w:r>
      <w:r>
        <w:rPr>
          <w:rFonts w:ascii="仿宋" w:hAnsi="仿宋"/>
          <w:szCs w:val="32"/>
        </w:rPr>
        <w:t>银行</w:t>
      </w:r>
      <w:r>
        <w:rPr>
          <w:rFonts w:ascii="仿宋" w:hAnsi="仿宋" w:hint="eastAsia"/>
          <w:szCs w:val="32"/>
        </w:rPr>
        <w:t>作为</w:t>
      </w:r>
      <w:r>
        <w:rPr>
          <w:rFonts w:ascii="仿宋" w:hAnsi="仿宋"/>
          <w:szCs w:val="32"/>
        </w:rPr>
        <w:t>政策性金融机构，</w:t>
      </w:r>
      <w:r>
        <w:rPr>
          <w:rFonts w:ascii="仿宋" w:hAnsi="仿宋" w:hint="eastAsia"/>
          <w:szCs w:val="32"/>
        </w:rPr>
        <w:t>其目的</w:t>
      </w:r>
      <w:r>
        <w:rPr>
          <w:rFonts w:ascii="仿宋" w:hAnsi="仿宋"/>
          <w:szCs w:val="32"/>
        </w:rPr>
        <w:t>为促进绿色产业</w:t>
      </w:r>
      <w:r w:rsidR="000F3084">
        <w:rPr>
          <w:rFonts w:ascii="仿宋" w:hAnsi="仿宋"/>
          <w:szCs w:val="32"/>
        </w:rPr>
        <w:t>的</w:t>
      </w:r>
      <w:r>
        <w:rPr>
          <w:rFonts w:ascii="仿宋" w:hAnsi="仿宋"/>
          <w:szCs w:val="32"/>
        </w:rPr>
        <w:t>持续健康发展，</w:t>
      </w:r>
      <w:r>
        <w:rPr>
          <w:rFonts w:ascii="仿宋" w:hAnsi="仿宋" w:hint="eastAsia"/>
          <w:szCs w:val="32"/>
        </w:rPr>
        <w:t>应</w:t>
      </w:r>
      <w:r>
        <w:rPr>
          <w:rFonts w:ascii="仿宋" w:hAnsi="仿宋"/>
          <w:szCs w:val="32"/>
        </w:rPr>
        <w:t>由政府作为控股股东，</w:t>
      </w:r>
      <w:r>
        <w:rPr>
          <w:rFonts w:ascii="仿宋" w:hAnsi="仿宋" w:hint="eastAsia"/>
          <w:szCs w:val="32"/>
        </w:rPr>
        <w:t>保障</w:t>
      </w:r>
      <w:r>
        <w:rPr>
          <w:rFonts w:ascii="仿宋" w:hAnsi="仿宋"/>
          <w:szCs w:val="32"/>
        </w:rPr>
        <w:t>绿色银行的方向与政府政策一致。</w:t>
      </w:r>
      <w:r w:rsidR="00E91FA2">
        <w:rPr>
          <w:rFonts w:ascii="仿宋" w:hAnsi="仿宋" w:hint="eastAsia"/>
          <w:szCs w:val="32"/>
        </w:rPr>
        <w:t>但为了不</w:t>
      </w:r>
      <w:r w:rsidR="00E91FA2">
        <w:rPr>
          <w:rFonts w:ascii="仿宋" w:hAnsi="仿宋"/>
          <w:szCs w:val="32"/>
        </w:rPr>
        <w:t>影响</w:t>
      </w:r>
      <w:r w:rsidR="00E91FA2">
        <w:rPr>
          <w:rFonts w:ascii="仿宋" w:hAnsi="仿宋" w:hint="eastAsia"/>
          <w:szCs w:val="32"/>
        </w:rPr>
        <w:t>绿色</w:t>
      </w:r>
      <w:r w:rsidR="00E91FA2">
        <w:rPr>
          <w:rFonts w:ascii="仿宋" w:hAnsi="仿宋"/>
          <w:szCs w:val="32"/>
        </w:rPr>
        <w:t>银行的</w:t>
      </w:r>
      <w:r w:rsidR="00E91FA2">
        <w:rPr>
          <w:rFonts w:ascii="仿宋" w:hAnsi="仿宋" w:hint="eastAsia"/>
          <w:szCs w:val="32"/>
        </w:rPr>
        <w:t>运营</w:t>
      </w:r>
      <w:r w:rsidR="00E91FA2">
        <w:rPr>
          <w:rFonts w:ascii="仿宋" w:hAnsi="仿宋"/>
          <w:szCs w:val="32"/>
        </w:rPr>
        <w:t>效率，政府不能直接干预绿色银行的日常运营，而</w:t>
      </w:r>
      <w:r w:rsidR="00E91FA2">
        <w:rPr>
          <w:rFonts w:ascii="仿宋" w:hAnsi="仿宋" w:hint="eastAsia"/>
          <w:szCs w:val="32"/>
        </w:rPr>
        <w:t>应该</w:t>
      </w:r>
      <w:r w:rsidR="00E91FA2">
        <w:rPr>
          <w:rFonts w:ascii="仿宋" w:hAnsi="仿宋"/>
          <w:szCs w:val="32"/>
        </w:rPr>
        <w:t>只通过顶层设计确保</w:t>
      </w:r>
      <w:r w:rsidR="00E91FA2">
        <w:rPr>
          <w:rFonts w:ascii="仿宋" w:hAnsi="仿宋" w:hint="eastAsia"/>
          <w:szCs w:val="32"/>
        </w:rPr>
        <w:t>绿色</w:t>
      </w:r>
      <w:r w:rsidR="00E91FA2">
        <w:rPr>
          <w:rFonts w:ascii="仿宋" w:hAnsi="仿宋"/>
          <w:szCs w:val="32"/>
        </w:rPr>
        <w:t>银行发展方向</w:t>
      </w:r>
      <w:r w:rsidR="00E91FA2">
        <w:rPr>
          <w:rFonts w:ascii="仿宋" w:hAnsi="仿宋" w:hint="eastAsia"/>
          <w:szCs w:val="32"/>
        </w:rPr>
        <w:t>与</w:t>
      </w:r>
      <w:r w:rsidR="00E91FA2">
        <w:rPr>
          <w:rFonts w:ascii="仿宋" w:hAnsi="仿宋"/>
          <w:szCs w:val="32"/>
        </w:rPr>
        <w:t>政府</w:t>
      </w:r>
      <w:r w:rsidR="00E91FA2">
        <w:rPr>
          <w:rFonts w:ascii="仿宋" w:hAnsi="仿宋" w:hint="eastAsia"/>
          <w:szCs w:val="32"/>
        </w:rPr>
        <w:t>政策</w:t>
      </w:r>
      <w:r w:rsidR="00E91FA2">
        <w:rPr>
          <w:rFonts w:ascii="仿宋" w:hAnsi="仿宋"/>
          <w:szCs w:val="32"/>
        </w:rPr>
        <w:t>一致即可。</w:t>
      </w:r>
    </w:p>
    <w:p w:rsidR="000F3084" w:rsidRDefault="00E91FA2" w:rsidP="007F2D01">
      <w:pPr>
        <w:pStyle w:val="Heading2"/>
      </w:pPr>
      <w:r>
        <w:rPr>
          <w:rFonts w:hint="eastAsia"/>
        </w:rPr>
        <w:t>（</w:t>
      </w:r>
      <w:r w:rsidRPr="000F3084">
        <w:rPr>
          <w:rFonts w:hint="eastAsia"/>
        </w:rPr>
        <w:t>二</w:t>
      </w:r>
      <w:r w:rsidRPr="000F3084">
        <w:t>）</w:t>
      </w:r>
      <w:r w:rsidRPr="000F3084">
        <w:rPr>
          <w:rFonts w:hint="eastAsia"/>
        </w:rPr>
        <w:t>采取</w:t>
      </w:r>
      <w:r w:rsidRPr="000F3084">
        <w:t>前期</w:t>
      </w:r>
      <w:r w:rsidRPr="000F3084">
        <w:rPr>
          <w:rFonts w:hint="eastAsia"/>
        </w:rPr>
        <w:t>财政</w:t>
      </w:r>
      <w:r w:rsidR="000F3084" w:rsidRPr="000F3084">
        <w:t>拨款、后期发</w:t>
      </w:r>
      <w:r w:rsidR="000F3084" w:rsidRPr="000F3084">
        <w:rPr>
          <w:rFonts w:hint="eastAsia"/>
        </w:rPr>
        <w:t>行</w:t>
      </w:r>
      <w:r w:rsidRPr="000F3084">
        <w:t>绿色债券的方式融资</w:t>
      </w:r>
    </w:p>
    <w:p w:rsidR="00E91FA2" w:rsidRDefault="00E91FA2">
      <w:pPr>
        <w:rPr>
          <w:rFonts w:ascii="仿宋" w:hAnsi="仿宋"/>
          <w:szCs w:val="32"/>
        </w:rPr>
      </w:pPr>
      <w:r>
        <w:rPr>
          <w:rFonts w:ascii="仿宋" w:hAnsi="仿宋" w:hint="eastAsia"/>
          <w:szCs w:val="32"/>
        </w:rPr>
        <w:t>目前</w:t>
      </w:r>
      <w:r>
        <w:rPr>
          <w:rFonts w:ascii="仿宋" w:hAnsi="仿宋"/>
          <w:szCs w:val="32"/>
        </w:rPr>
        <w:t>绿色债券市场尚不成熟，绿色银行成立的</w:t>
      </w:r>
      <w:r>
        <w:rPr>
          <w:rFonts w:ascii="仿宋" w:hAnsi="仿宋" w:hint="eastAsia"/>
          <w:szCs w:val="32"/>
        </w:rPr>
        <w:t>初始</w:t>
      </w:r>
      <w:r>
        <w:rPr>
          <w:rFonts w:ascii="仿宋" w:hAnsi="仿宋"/>
          <w:szCs w:val="32"/>
        </w:rPr>
        <w:t>资本金</w:t>
      </w:r>
      <w:r>
        <w:rPr>
          <w:rFonts w:ascii="仿宋" w:hAnsi="仿宋" w:hint="eastAsia"/>
          <w:szCs w:val="32"/>
        </w:rPr>
        <w:t>应该</w:t>
      </w:r>
      <w:r>
        <w:rPr>
          <w:rFonts w:ascii="仿宋" w:hAnsi="仿宋"/>
          <w:szCs w:val="32"/>
        </w:rPr>
        <w:t>以财政部或中央汇金公司出资为主</w:t>
      </w:r>
      <w:r>
        <w:rPr>
          <w:rFonts w:ascii="仿宋" w:hAnsi="仿宋" w:hint="eastAsia"/>
          <w:szCs w:val="32"/>
        </w:rPr>
        <w:t>。当</w:t>
      </w:r>
      <w:r w:rsidR="005378F7">
        <w:rPr>
          <w:rFonts w:ascii="仿宋" w:hAnsi="仿宋"/>
          <w:szCs w:val="32"/>
        </w:rPr>
        <w:t>绿色债券市场较为成熟后，绿色债券应当作为绿色银行的主要资金来源</w:t>
      </w:r>
      <w:r w:rsidR="005378F7">
        <w:rPr>
          <w:rFonts w:ascii="仿宋" w:hAnsi="仿宋" w:hint="eastAsia"/>
          <w:szCs w:val="32"/>
        </w:rPr>
        <w:t>。</w:t>
      </w:r>
      <w:r>
        <w:rPr>
          <w:rFonts w:ascii="仿宋" w:hAnsi="仿宋"/>
          <w:szCs w:val="32"/>
        </w:rPr>
        <w:t>作为政策</w:t>
      </w:r>
      <w:r>
        <w:rPr>
          <w:rFonts w:ascii="仿宋" w:hAnsi="仿宋" w:hint="eastAsia"/>
          <w:szCs w:val="32"/>
        </w:rPr>
        <w:t>性</w:t>
      </w:r>
      <w:r>
        <w:rPr>
          <w:rFonts w:ascii="仿宋" w:hAnsi="仿宋"/>
          <w:szCs w:val="32"/>
        </w:rPr>
        <w:t>银行</w:t>
      </w:r>
      <w:r w:rsidR="00C1467C">
        <w:rPr>
          <w:rFonts w:ascii="仿宋" w:hAnsi="仿宋" w:hint="eastAsia"/>
          <w:szCs w:val="32"/>
        </w:rPr>
        <w:t>，</w:t>
      </w:r>
      <w:r w:rsidR="00C1467C">
        <w:rPr>
          <w:rFonts w:ascii="仿宋" w:hAnsi="仿宋"/>
          <w:szCs w:val="32"/>
        </w:rPr>
        <w:t>绿色银行</w:t>
      </w:r>
      <w:r w:rsidR="00C1467C">
        <w:rPr>
          <w:rFonts w:ascii="仿宋" w:hAnsi="仿宋" w:hint="eastAsia"/>
          <w:szCs w:val="32"/>
        </w:rPr>
        <w:t>应</w:t>
      </w:r>
      <w:r w:rsidR="00C1467C">
        <w:rPr>
          <w:rFonts w:ascii="仿宋" w:hAnsi="仿宋"/>
          <w:szCs w:val="32"/>
        </w:rPr>
        <w:t>享受准主权级</w:t>
      </w:r>
      <w:r w:rsidR="00C1467C">
        <w:rPr>
          <w:rFonts w:ascii="仿宋" w:hAnsi="仿宋" w:hint="eastAsia"/>
          <w:szCs w:val="32"/>
        </w:rPr>
        <w:t>债券</w:t>
      </w:r>
      <w:r w:rsidR="00C1467C">
        <w:rPr>
          <w:rFonts w:ascii="仿宋" w:hAnsi="仿宋"/>
          <w:szCs w:val="32"/>
        </w:rPr>
        <w:t>评级，以保证</w:t>
      </w:r>
      <w:r w:rsidR="00C1467C">
        <w:rPr>
          <w:rFonts w:ascii="仿宋" w:hAnsi="仿宋" w:hint="eastAsia"/>
          <w:szCs w:val="32"/>
        </w:rPr>
        <w:t>低成本</w:t>
      </w:r>
      <w:r w:rsidR="00C1467C">
        <w:rPr>
          <w:rFonts w:ascii="仿宋" w:hAnsi="仿宋"/>
          <w:szCs w:val="32"/>
        </w:rPr>
        <w:t>融资。</w:t>
      </w:r>
      <w:r w:rsidR="00C1467C">
        <w:rPr>
          <w:rFonts w:ascii="仿宋" w:hAnsi="仿宋" w:hint="eastAsia"/>
          <w:szCs w:val="32"/>
        </w:rPr>
        <w:t>绿色</w:t>
      </w:r>
      <w:r w:rsidR="00C1467C">
        <w:rPr>
          <w:rFonts w:ascii="仿宋" w:hAnsi="仿宋"/>
          <w:szCs w:val="32"/>
        </w:rPr>
        <w:t>银行</w:t>
      </w:r>
      <w:r w:rsidR="00C1467C">
        <w:rPr>
          <w:rFonts w:ascii="仿宋" w:hAnsi="仿宋" w:hint="eastAsia"/>
          <w:szCs w:val="32"/>
        </w:rPr>
        <w:t>也</w:t>
      </w:r>
      <w:r w:rsidR="00C1467C">
        <w:rPr>
          <w:rFonts w:ascii="仿宋" w:hAnsi="仿宋"/>
          <w:szCs w:val="32"/>
        </w:rPr>
        <w:t>可通过发行绿色资产证券化产品筹措资金。</w:t>
      </w:r>
    </w:p>
    <w:p w:rsidR="00C1467C" w:rsidRDefault="00C1467C" w:rsidP="00C1467C">
      <w:pPr>
        <w:pStyle w:val="Heading2"/>
      </w:pPr>
      <w:r>
        <w:rPr>
          <w:rFonts w:hint="eastAsia"/>
        </w:rPr>
        <w:t>（三</w:t>
      </w:r>
      <w:r>
        <w:t>）</w:t>
      </w:r>
      <w:r>
        <w:rPr>
          <w:rFonts w:hint="eastAsia"/>
        </w:rPr>
        <w:t>用</w:t>
      </w:r>
      <w:r>
        <w:rPr>
          <w:rFonts w:hint="eastAsia"/>
        </w:rPr>
        <w:t>PPP</w:t>
      </w:r>
      <w:r>
        <w:rPr>
          <w:rFonts w:hint="eastAsia"/>
        </w:rPr>
        <w:t>等</w:t>
      </w:r>
      <w:r>
        <w:t>模式引导私营部门资金进入绿色</w:t>
      </w:r>
      <w:r>
        <w:rPr>
          <w:rFonts w:hint="eastAsia"/>
        </w:rPr>
        <w:t>产业</w:t>
      </w:r>
    </w:p>
    <w:p w:rsidR="000F3084" w:rsidRDefault="00C1467C" w:rsidP="002A10AD">
      <w:r w:rsidRPr="00087EA9">
        <w:rPr>
          <w:rFonts w:hint="eastAsia"/>
          <w:szCs w:val="32"/>
        </w:rPr>
        <w:t>PPP</w:t>
      </w:r>
      <w:r w:rsidRPr="00087EA9">
        <w:rPr>
          <w:rFonts w:hint="eastAsia"/>
          <w:szCs w:val="32"/>
        </w:rPr>
        <w:t>模式（</w:t>
      </w:r>
      <w:r w:rsidRPr="00087EA9">
        <w:rPr>
          <w:rFonts w:hint="eastAsia"/>
          <w:szCs w:val="32"/>
        </w:rPr>
        <w:t>Public Private Partnership</w:t>
      </w:r>
      <w:r w:rsidRPr="00087EA9">
        <w:rPr>
          <w:rFonts w:hint="eastAsia"/>
          <w:szCs w:val="32"/>
        </w:rPr>
        <w:t>，即公共部门与私人企业合作模式）</w:t>
      </w:r>
      <w:r>
        <w:rPr>
          <w:rFonts w:hint="eastAsia"/>
        </w:rPr>
        <w:t>的优势在于绿色</w:t>
      </w:r>
      <w:r>
        <w:t>银行</w:t>
      </w:r>
      <w:r>
        <w:rPr>
          <w:rFonts w:hint="eastAsia"/>
        </w:rPr>
        <w:t>可以通过与私营部门结成风险共担</w:t>
      </w:r>
      <w:r w:rsidR="00C3205F">
        <w:rPr>
          <w:rFonts w:hint="eastAsia"/>
        </w:rPr>
        <w:t>、</w:t>
      </w:r>
      <w:r>
        <w:rPr>
          <w:rFonts w:hint="eastAsia"/>
        </w:rPr>
        <w:t>利益共享的伙伴关系为基础设施项目筹集资金，可以</w:t>
      </w:r>
      <w:r w:rsidRPr="00F979B9">
        <w:rPr>
          <w:rFonts w:hint="eastAsia"/>
        </w:rPr>
        <w:t>充分</w:t>
      </w:r>
      <w:r>
        <w:rPr>
          <w:rFonts w:hint="eastAsia"/>
        </w:rPr>
        <w:t>发挥</w:t>
      </w:r>
      <w:r w:rsidRPr="00F979B9">
        <w:t>公共资金</w:t>
      </w:r>
      <w:r>
        <w:rPr>
          <w:rFonts w:hint="eastAsia"/>
        </w:rPr>
        <w:t>的杠杆作用</w:t>
      </w:r>
      <w:r w:rsidRPr="00F979B9">
        <w:t>来引导私营部门的投资</w:t>
      </w:r>
      <w:r>
        <w:rPr>
          <w:rFonts w:hint="eastAsia"/>
        </w:rPr>
        <w:t>。以</w:t>
      </w:r>
      <w:r>
        <w:tab/>
        <w:t>PPP</w:t>
      </w:r>
      <w:r>
        <w:rPr>
          <w:rFonts w:hint="eastAsia"/>
        </w:rPr>
        <w:t>模</w:t>
      </w:r>
      <w:r>
        <w:rPr>
          <w:rFonts w:hint="eastAsia"/>
        </w:rPr>
        <w:lastRenderedPageBreak/>
        <w:t>式</w:t>
      </w:r>
      <w:r>
        <w:t>为绿色项目筹集资金在发达国家有很多成功的案例，绿色银行可以借鉴这些经验，推广</w:t>
      </w:r>
      <w:r>
        <w:rPr>
          <w:rFonts w:hint="eastAsia"/>
        </w:rPr>
        <w:t>PPP</w:t>
      </w:r>
      <w:r>
        <w:rPr>
          <w:rFonts w:hint="eastAsia"/>
        </w:rPr>
        <w:t>模式</w:t>
      </w:r>
      <w:r>
        <w:t>。</w:t>
      </w:r>
    </w:p>
    <w:p w:rsidR="000F3084" w:rsidRDefault="00C1467C" w:rsidP="000F3084">
      <w:pPr>
        <w:pStyle w:val="Heading2"/>
      </w:pPr>
      <w:r w:rsidRPr="000F3084">
        <w:rPr>
          <w:rFonts w:hint="eastAsia"/>
        </w:rPr>
        <w:t>（四</w:t>
      </w:r>
      <w:r w:rsidRPr="000F3084">
        <w:t>）</w:t>
      </w:r>
      <w:r w:rsidR="000F3084" w:rsidRPr="000F3084">
        <w:rPr>
          <w:rFonts w:hint="eastAsia"/>
        </w:rPr>
        <w:t>构建</w:t>
      </w:r>
      <w:r w:rsidR="000F3084" w:rsidRPr="000F3084">
        <w:t>完善</w:t>
      </w:r>
      <w:r w:rsidR="000F3084" w:rsidRPr="000F3084">
        <w:rPr>
          <w:rFonts w:hint="eastAsia"/>
        </w:rPr>
        <w:t>的</w:t>
      </w:r>
      <w:r w:rsidR="000F3084" w:rsidRPr="000F3084">
        <w:t>风险管理体系</w:t>
      </w:r>
    </w:p>
    <w:p w:rsidR="000F3084" w:rsidRDefault="000F3084" w:rsidP="000F3084">
      <w:pPr>
        <w:rPr>
          <w:rFonts w:ascii="仿宋" w:hAnsi="仿宋"/>
          <w:szCs w:val="32"/>
        </w:rPr>
      </w:pPr>
      <w:r>
        <w:rPr>
          <w:rFonts w:ascii="仿宋" w:hAnsi="仿宋" w:hint="eastAsia"/>
          <w:szCs w:val="32"/>
        </w:rPr>
        <w:t>由于</w:t>
      </w:r>
      <w:r>
        <w:rPr>
          <w:rFonts w:ascii="仿宋" w:hAnsi="仿宋"/>
          <w:szCs w:val="32"/>
        </w:rPr>
        <w:t>绿色银行仅投资于绿色行</w:t>
      </w:r>
      <w:r>
        <w:rPr>
          <w:rFonts w:ascii="仿宋" w:hAnsi="仿宋" w:hint="eastAsia"/>
          <w:szCs w:val="32"/>
        </w:rPr>
        <w:t>业</w:t>
      </w:r>
      <w:r>
        <w:rPr>
          <w:rFonts w:ascii="仿宋" w:hAnsi="仿宋"/>
          <w:szCs w:val="32"/>
        </w:rPr>
        <w:t>，</w:t>
      </w:r>
      <w:r>
        <w:rPr>
          <w:rFonts w:ascii="仿宋" w:hAnsi="仿宋" w:hint="eastAsia"/>
          <w:szCs w:val="32"/>
        </w:rPr>
        <w:t>相对于普通银行，风险暴露程度更大。因此，建立良好的风险管理体系对绿色银行长久的运营和健康发展至关重要。风险管理和内部控制应该成为绿色银行公司治理的核心部分。</w:t>
      </w:r>
    </w:p>
    <w:p w:rsidR="000F3084" w:rsidRPr="000F3084" w:rsidRDefault="003820AE" w:rsidP="000F3084">
      <w:pPr>
        <w:pStyle w:val="Heading2"/>
      </w:pPr>
      <w:r w:rsidRPr="000F3084">
        <w:rPr>
          <w:rFonts w:hint="eastAsia"/>
        </w:rPr>
        <w:t>（五</w:t>
      </w:r>
      <w:r w:rsidRPr="000F3084">
        <w:t>）</w:t>
      </w:r>
      <w:r w:rsidR="000F3084" w:rsidRPr="000F3084">
        <w:rPr>
          <w:rFonts w:hint="eastAsia"/>
        </w:rPr>
        <w:t>建立</w:t>
      </w:r>
      <w:r w:rsidR="000F3084" w:rsidRPr="000F3084">
        <w:t>透明的信息公开机制</w:t>
      </w:r>
    </w:p>
    <w:p w:rsidR="00087EA9" w:rsidRDefault="000F3084">
      <w:pPr>
        <w:rPr>
          <w:rFonts w:ascii="仿宋" w:hAnsi="仿宋"/>
          <w:szCs w:val="32"/>
        </w:rPr>
      </w:pPr>
      <w:r w:rsidRPr="000F3084">
        <w:rPr>
          <w:rFonts w:ascii="仿宋" w:hAnsi="仿宋" w:hint="eastAsia"/>
          <w:szCs w:val="32"/>
        </w:rPr>
        <w:t>目前绿色</w:t>
      </w:r>
      <w:r w:rsidRPr="000F3084">
        <w:rPr>
          <w:rFonts w:ascii="仿宋" w:hAnsi="仿宋"/>
          <w:szCs w:val="32"/>
        </w:rPr>
        <w:t>行业</w:t>
      </w:r>
      <w:r w:rsidRPr="000F3084">
        <w:rPr>
          <w:rFonts w:ascii="仿宋" w:hAnsi="仿宋" w:hint="eastAsia"/>
          <w:szCs w:val="32"/>
        </w:rPr>
        <w:t>融资</w:t>
      </w:r>
      <w:r w:rsidRPr="000F3084">
        <w:rPr>
          <w:rFonts w:ascii="仿宋" w:hAnsi="仿宋"/>
          <w:szCs w:val="32"/>
        </w:rPr>
        <w:t>所面临的问题之一</w:t>
      </w:r>
      <w:r w:rsidRPr="000F3084">
        <w:rPr>
          <w:rFonts w:ascii="仿宋" w:hAnsi="仿宋" w:hint="eastAsia"/>
          <w:szCs w:val="32"/>
        </w:rPr>
        <w:t>是</w:t>
      </w:r>
      <w:r w:rsidRPr="000F3084">
        <w:rPr>
          <w:rFonts w:ascii="仿宋" w:hAnsi="仿宋"/>
          <w:szCs w:val="32"/>
        </w:rPr>
        <w:t>信息不足</w:t>
      </w:r>
      <w:r w:rsidRPr="000F3084">
        <w:rPr>
          <w:rFonts w:ascii="仿宋" w:hAnsi="仿宋" w:hint="eastAsia"/>
          <w:szCs w:val="32"/>
        </w:rPr>
        <w:t>。</w:t>
      </w:r>
      <w:r w:rsidRPr="000F3084">
        <w:rPr>
          <w:rFonts w:ascii="仿宋" w:hAnsi="仿宋"/>
          <w:szCs w:val="32"/>
        </w:rPr>
        <w:t>投资者</w:t>
      </w:r>
      <w:r w:rsidRPr="000F3084">
        <w:rPr>
          <w:rFonts w:ascii="仿宋" w:hAnsi="仿宋" w:hint="eastAsia"/>
          <w:szCs w:val="32"/>
        </w:rPr>
        <w:t>没有投资</w:t>
      </w:r>
      <w:r w:rsidRPr="000F3084">
        <w:rPr>
          <w:rFonts w:ascii="仿宋" w:hAnsi="仿宋"/>
          <w:szCs w:val="32"/>
        </w:rPr>
        <w:t>先例和</w:t>
      </w:r>
      <w:r w:rsidRPr="000F3084">
        <w:rPr>
          <w:rFonts w:ascii="仿宋" w:hAnsi="仿宋" w:hint="eastAsia"/>
          <w:szCs w:val="32"/>
        </w:rPr>
        <w:t>一定时间</w:t>
      </w:r>
      <w:r w:rsidRPr="000F3084">
        <w:rPr>
          <w:rFonts w:ascii="仿宋" w:hAnsi="仿宋"/>
          <w:szCs w:val="32"/>
        </w:rPr>
        <w:t>长度的</w:t>
      </w:r>
      <w:r w:rsidRPr="000F3084">
        <w:rPr>
          <w:rFonts w:ascii="仿宋" w:hAnsi="仿宋" w:hint="eastAsia"/>
          <w:szCs w:val="32"/>
        </w:rPr>
        <w:t>项目</w:t>
      </w:r>
      <w:r w:rsidRPr="000F3084">
        <w:rPr>
          <w:rFonts w:ascii="仿宋" w:hAnsi="仿宋"/>
          <w:szCs w:val="32"/>
        </w:rPr>
        <w:t>绩效记录</w:t>
      </w:r>
      <w:r w:rsidRPr="000F3084">
        <w:rPr>
          <w:rFonts w:ascii="仿宋" w:hAnsi="仿宋" w:hint="eastAsia"/>
          <w:szCs w:val="32"/>
        </w:rPr>
        <w:t>作为</w:t>
      </w:r>
      <w:r w:rsidRPr="000F3084">
        <w:rPr>
          <w:rFonts w:ascii="仿宋" w:hAnsi="仿宋"/>
          <w:szCs w:val="32"/>
        </w:rPr>
        <w:t>投资参考，</w:t>
      </w:r>
      <w:r w:rsidRPr="000F3084">
        <w:rPr>
          <w:rFonts w:ascii="仿宋" w:hAnsi="仿宋" w:hint="eastAsia"/>
          <w:szCs w:val="32"/>
        </w:rPr>
        <w:t>而</w:t>
      </w:r>
      <w:r w:rsidRPr="000F3084">
        <w:rPr>
          <w:rFonts w:ascii="仿宋" w:hAnsi="仿宋"/>
          <w:szCs w:val="32"/>
        </w:rPr>
        <w:t>不愿意投资绿色行业。绿色银行</w:t>
      </w:r>
      <w:r w:rsidRPr="000F3084">
        <w:rPr>
          <w:rFonts w:ascii="仿宋" w:hAnsi="仿宋" w:hint="eastAsia"/>
          <w:szCs w:val="32"/>
        </w:rPr>
        <w:t>通过</w:t>
      </w:r>
      <w:r w:rsidRPr="000F3084">
        <w:rPr>
          <w:rFonts w:ascii="仿宋" w:hAnsi="仿宋"/>
          <w:szCs w:val="32"/>
        </w:rPr>
        <w:t>建立透明的信息公开机制</w:t>
      </w:r>
      <w:r w:rsidRPr="000F3084">
        <w:rPr>
          <w:rFonts w:ascii="仿宋" w:hAnsi="仿宋" w:hint="eastAsia"/>
          <w:szCs w:val="32"/>
        </w:rPr>
        <w:t>、</w:t>
      </w:r>
      <w:r w:rsidRPr="000F3084">
        <w:rPr>
          <w:rFonts w:ascii="仿宋" w:hAnsi="仿宋"/>
          <w:szCs w:val="32"/>
        </w:rPr>
        <w:t>分享</w:t>
      </w:r>
      <w:r w:rsidRPr="000F3084">
        <w:rPr>
          <w:rFonts w:ascii="仿宋" w:hAnsi="仿宋" w:hint="eastAsia"/>
          <w:szCs w:val="32"/>
        </w:rPr>
        <w:t>项目</w:t>
      </w:r>
      <w:r w:rsidRPr="000F3084">
        <w:rPr>
          <w:rFonts w:ascii="仿宋" w:hAnsi="仿宋"/>
          <w:szCs w:val="32"/>
        </w:rPr>
        <w:t>加总或匿名数据</w:t>
      </w:r>
      <w:r w:rsidRPr="000F3084">
        <w:rPr>
          <w:rFonts w:ascii="仿宋" w:hAnsi="仿宋" w:hint="eastAsia"/>
          <w:szCs w:val="32"/>
        </w:rPr>
        <w:t>、</w:t>
      </w:r>
      <w:r w:rsidRPr="000F3084">
        <w:rPr>
          <w:rFonts w:ascii="仿宋" w:hAnsi="仿宋"/>
          <w:szCs w:val="32"/>
        </w:rPr>
        <w:t>开发行业准则</w:t>
      </w:r>
      <w:r w:rsidRPr="000F3084">
        <w:rPr>
          <w:rFonts w:ascii="仿宋" w:hAnsi="仿宋" w:hint="eastAsia"/>
          <w:szCs w:val="32"/>
        </w:rPr>
        <w:t>等</w:t>
      </w:r>
      <w:r w:rsidRPr="000F3084">
        <w:rPr>
          <w:rFonts w:ascii="仿宋" w:hAnsi="仿宋"/>
          <w:szCs w:val="32"/>
        </w:rPr>
        <w:t>，增加</w:t>
      </w:r>
      <w:r w:rsidRPr="000F3084">
        <w:rPr>
          <w:rFonts w:ascii="仿宋" w:hAnsi="仿宋" w:hint="eastAsia"/>
          <w:szCs w:val="32"/>
        </w:rPr>
        <w:t>行业</w:t>
      </w:r>
      <w:r w:rsidRPr="000F3084">
        <w:rPr>
          <w:rFonts w:ascii="仿宋" w:hAnsi="仿宋"/>
          <w:szCs w:val="32"/>
        </w:rPr>
        <w:t>透明度和投资者信心</w:t>
      </w:r>
      <w:r w:rsidRPr="000F3084">
        <w:rPr>
          <w:rFonts w:ascii="仿宋" w:hAnsi="仿宋" w:hint="eastAsia"/>
          <w:szCs w:val="32"/>
        </w:rPr>
        <w:t>，</w:t>
      </w:r>
      <w:r w:rsidRPr="000F3084">
        <w:rPr>
          <w:rFonts w:ascii="仿宋" w:hAnsi="仿宋"/>
          <w:szCs w:val="32"/>
        </w:rPr>
        <w:t>帮助私营部门理解新的资产类别</w:t>
      </w:r>
      <w:r w:rsidRPr="000F3084">
        <w:rPr>
          <w:rFonts w:ascii="仿宋" w:hAnsi="仿宋" w:hint="eastAsia"/>
          <w:szCs w:val="32"/>
        </w:rPr>
        <w:t>，鼓励</w:t>
      </w:r>
      <w:r w:rsidRPr="000F3084">
        <w:rPr>
          <w:rFonts w:ascii="仿宋" w:hAnsi="仿宋"/>
          <w:szCs w:val="32"/>
        </w:rPr>
        <w:t>他们对绿色项目投资。公开</w:t>
      </w:r>
      <w:r w:rsidRPr="000F3084">
        <w:rPr>
          <w:rFonts w:ascii="仿宋" w:hAnsi="仿宋" w:hint="eastAsia"/>
          <w:szCs w:val="32"/>
        </w:rPr>
        <w:t>透明</w:t>
      </w:r>
      <w:r w:rsidRPr="000F3084">
        <w:rPr>
          <w:rFonts w:ascii="仿宋" w:hAnsi="仿宋"/>
          <w:szCs w:val="32"/>
        </w:rPr>
        <w:t>的信息机制</w:t>
      </w:r>
      <w:r w:rsidRPr="000F3084">
        <w:rPr>
          <w:rFonts w:ascii="仿宋" w:hAnsi="仿宋" w:hint="eastAsia"/>
          <w:szCs w:val="32"/>
        </w:rPr>
        <w:t>能使</w:t>
      </w:r>
      <w:r w:rsidRPr="000F3084">
        <w:rPr>
          <w:rFonts w:ascii="仿宋" w:hAnsi="仿宋"/>
          <w:szCs w:val="32"/>
        </w:rPr>
        <w:t>公众直观</w:t>
      </w:r>
      <w:r w:rsidRPr="000F3084">
        <w:rPr>
          <w:rFonts w:ascii="仿宋" w:hAnsi="仿宋" w:hint="eastAsia"/>
          <w:szCs w:val="32"/>
        </w:rPr>
        <w:t>地</w:t>
      </w:r>
      <w:r w:rsidRPr="000F3084">
        <w:rPr>
          <w:rFonts w:ascii="仿宋" w:hAnsi="仿宋"/>
          <w:szCs w:val="32"/>
        </w:rPr>
        <w:t>感受到政府对发展绿色经济做出的努力，</w:t>
      </w:r>
      <w:r w:rsidRPr="000F3084">
        <w:rPr>
          <w:rFonts w:ascii="仿宋" w:hAnsi="仿宋" w:hint="eastAsia"/>
          <w:szCs w:val="32"/>
        </w:rPr>
        <w:t>有助于</w:t>
      </w:r>
      <w:r w:rsidRPr="000F3084">
        <w:rPr>
          <w:rFonts w:ascii="仿宋" w:hAnsi="仿宋"/>
          <w:szCs w:val="32"/>
        </w:rPr>
        <w:t>构建绿色银行和政府在国内</w:t>
      </w:r>
      <w:r w:rsidRPr="000F3084">
        <w:rPr>
          <w:rFonts w:ascii="仿宋" w:hAnsi="仿宋" w:hint="eastAsia"/>
          <w:szCs w:val="32"/>
        </w:rPr>
        <w:t>和</w:t>
      </w:r>
      <w:r w:rsidRPr="000F3084">
        <w:rPr>
          <w:rFonts w:ascii="仿宋" w:hAnsi="仿宋"/>
          <w:szCs w:val="32"/>
        </w:rPr>
        <w:t>国际社会的良好声誉。</w:t>
      </w:r>
    </w:p>
    <w:p w:rsidR="00341EFA" w:rsidRPr="00E00ECE" w:rsidRDefault="004B212C" w:rsidP="00E00ECE">
      <w:pPr>
        <w:pStyle w:val="Heading2"/>
        <w:rPr>
          <w:rFonts w:ascii="仿宋" w:hAnsi="仿宋"/>
          <w:b/>
          <w:szCs w:val="32"/>
        </w:rPr>
      </w:pPr>
      <w:r>
        <w:rPr>
          <w:rFonts w:hint="eastAsia"/>
        </w:rPr>
        <w:t>（</w:t>
      </w:r>
      <w:r w:rsidR="00341EFA" w:rsidRPr="00E00ECE">
        <w:rPr>
          <w:rFonts w:hint="eastAsia"/>
        </w:rPr>
        <w:t>六</w:t>
      </w:r>
      <w:r>
        <w:rPr>
          <w:rFonts w:hint="eastAsia"/>
        </w:rPr>
        <w:t>）</w:t>
      </w:r>
      <w:r w:rsidR="00341EFA" w:rsidRPr="00E00ECE">
        <w:rPr>
          <w:rFonts w:hint="eastAsia"/>
        </w:rPr>
        <w:t>绿色银行</w:t>
      </w:r>
      <w:r w:rsidR="00615CC2">
        <w:rPr>
          <w:rFonts w:hint="eastAsia"/>
        </w:rPr>
        <w:t>应</w:t>
      </w:r>
      <w:r w:rsidR="00341EFA" w:rsidRPr="00E00ECE">
        <w:rPr>
          <w:rFonts w:hint="eastAsia"/>
        </w:rPr>
        <w:t>对私营部门起示范</w:t>
      </w:r>
      <w:r w:rsidR="009754C5">
        <w:rPr>
          <w:rFonts w:hint="eastAsia"/>
        </w:rPr>
        <w:t>带动作用</w:t>
      </w:r>
    </w:p>
    <w:p w:rsidR="00341EFA" w:rsidRPr="00341EFA" w:rsidRDefault="00163BD0" w:rsidP="00E00ECE">
      <w:pPr>
        <w:tabs>
          <w:tab w:val="center" w:pos="4837"/>
        </w:tabs>
        <w:rPr>
          <w:rFonts w:ascii="仿宋" w:hAnsi="仿宋"/>
          <w:szCs w:val="32"/>
        </w:rPr>
      </w:pPr>
      <w:r>
        <w:rPr>
          <w:rFonts w:ascii="仿宋" w:hAnsi="仿宋" w:hint="eastAsia"/>
          <w:szCs w:val="32"/>
        </w:rPr>
        <w:t>建立绿色银行的目的是</w:t>
      </w:r>
      <w:r w:rsidR="00E00ECE">
        <w:rPr>
          <w:rFonts w:ascii="仿宋" w:hAnsi="仿宋" w:hint="eastAsia"/>
          <w:szCs w:val="32"/>
        </w:rPr>
        <w:t>克服</w:t>
      </w:r>
      <w:r w:rsidR="00C3205F">
        <w:rPr>
          <w:rFonts w:ascii="仿宋" w:hAnsi="仿宋" w:hint="eastAsia"/>
          <w:szCs w:val="32"/>
        </w:rPr>
        <w:t>由</w:t>
      </w:r>
      <w:r w:rsidR="00377E59">
        <w:rPr>
          <w:rFonts w:ascii="仿宋" w:hAnsi="仿宋" w:hint="eastAsia"/>
          <w:szCs w:val="32"/>
        </w:rPr>
        <w:t>市场失灵造成的对绿色行业的投资短缺，绿色银行通过对私营部门的示范效应带动民间资本进入绿色行业。要做到这一点，西方国家的绿色银行在投资活动中遵循</w:t>
      </w:r>
      <w:r w:rsidR="00485668">
        <w:rPr>
          <w:rFonts w:ascii="仿宋" w:hAnsi="仿宋" w:hint="eastAsia"/>
          <w:szCs w:val="32"/>
        </w:rPr>
        <w:t>“有所为有所不为”和</w:t>
      </w:r>
      <w:r w:rsidR="00377E59">
        <w:rPr>
          <w:rFonts w:ascii="仿宋" w:hAnsi="仿宋" w:hint="eastAsia"/>
          <w:szCs w:val="32"/>
        </w:rPr>
        <w:t>“额外性”</w:t>
      </w:r>
      <w:r w:rsidR="00485668">
        <w:rPr>
          <w:rFonts w:ascii="仿宋" w:hAnsi="仿宋" w:hint="eastAsia"/>
          <w:szCs w:val="32"/>
        </w:rPr>
        <w:t>等原则，即将投资活动限</w:t>
      </w:r>
      <w:r w:rsidR="00485668">
        <w:rPr>
          <w:rFonts w:ascii="仿宋" w:hAnsi="仿宋" w:hint="eastAsia"/>
          <w:szCs w:val="32"/>
        </w:rPr>
        <w:lastRenderedPageBreak/>
        <w:t>定在民间资本因市场失灵而难以进入的领域和项目上，而不把资金投入民间资本已经较为活跃的领域，与民间资本争市场、抢项目。</w:t>
      </w:r>
    </w:p>
    <w:sectPr w:rsidR="00341EFA" w:rsidRPr="00341EFA" w:rsidSect="002A10AD">
      <w:footerReference w:type="default" r:id="rId21"/>
      <w:pgSz w:w="11907" w:h="16839" w:code="9"/>
      <w:pgMar w:top="1440" w:right="1440" w:bottom="1440" w:left="1440" w:header="288" w:footer="288"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E3" w:rsidRDefault="000D73E3" w:rsidP="00C473DF">
      <w:pPr>
        <w:spacing w:line="240" w:lineRule="auto"/>
      </w:pPr>
      <w:r>
        <w:separator/>
      </w:r>
    </w:p>
  </w:endnote>
  <w:endnote w:type="continuationSeparator" w:id="0">
    <w:p w:rsidR="000D73E3" w:rsidRDefault="000D73E3" w:rsidP="00C47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7882"/>
      <w:docPartObj>
        <w:docPartGallery w:val="Page Numbers (Bottom of Page)"/>
        <w:docPartUnique/>
      </w:docPartObj>
    </w:sdtPr>
    <w:sdtEndPr>
      <w:rPr>
        <w:rFonts w:cs="Times New Roman"/>
        <w:noProof/>
      </w:rPr>
    </w:sdtEndPr>
    <w:sdtContent>
      <w:p w:rsidR="000B0FBB" w:rsidRPr="00824E33" w:rsidRDefault="00E7030B">
        <w:pPr>
          <w:pStyle w:val="Footer"/>
          <w:jc w:val="right"/>
          <w:rPr>
            <w:rFonts w:cs="Times New Roman"/>
          </w:rPr>
        </w:pPr>
        <w:r w:rsidRPr="002A10AD">
          <w:rPr>
            <w:rFonts w:cs="Times New Roman"/>
            <w:sz w:val="24"/>
            <w:szCs w:val="24"/>
          </w:rPr>
          <w:fldChar w:fldCharType="begin"/>
        </w:r>
        <w:r w:rsidR="000B0FBB" w:rsidRPr="002A10AD">
          <w:rPr>
            <w:rFonts w:cs="Times New Roman"/>
            <w:sz w:val="24"/>
            <w:szCs w:val="24"/>
          </w:rPr>
          <w:instrText xml:space="preserve"> PAGE   \* MERGEFORMAT </w:instrText>
        </w:r>
        <w:r w:rsidRPr="002A10AD">
          <w:rPr>
            <w:rFonts w:cs="Times New Roman"/>
            <w:sz w:val="24"/>
            <w:szCs w:val="24"/>
          </w:rPr>
          <w:fldChar w:fldCharType="separate"/>
        </w:r>
        <w:r w:rsidR="0071558B">
          <w:rPr>
            <w:rFonts w:cs="Times New Roman"/>
            <w:noProof/>
            <w:sz w:val="24"/>
            <w:szCs w:val="24"/>
          </w:rPr>
          <w:t>2</w:t>
        </w:r>
        <w:r w:rsidRPr="002A10AD">
          <w:rPr>
            <w:rFonts w:cs="Times New Roman"/>
            <w:noProof/>
            <w:sz w:val="24"/>
            <w:szCs w:val="24"/>
          </w:rPr>
          <w:fldChar w:fldCharType="end"/>
        </w:r>
      </w:p>
    </w:sdtContent>
  </w:sdt>
  <w:p w:rsidR="000B0FBB" w:rsidRDefault="000B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E3" w:rsidRDefault="000D73E3" w:rsidP="00C473DF">
      <w:pPr>
        <w:spacing w:line="240" w:lineRule="auto"/>
      </w:pPr>
      <w:r>
        <w:separator/>
      </w:r>
    </w:p>
  </w:footnote>
  <w:footnote w:type="continuationSeparator" w:id="0">
    <w:p w:rsidR="000D73E3" w:rsidRDefault="000D73E3" w:rsidP="00C473DF">
      <w:pPr>
        <w:spacing w:line="240" w:lineRule="auto"/>
      </w:pPr>
      <w:r>
        <w:continuationSeparator/>
      </w:r>
    </w:p>
  </w:footnote>
  <w:footnote w:id="1">
    <w:p w:rsidR="000B0FBB" w:rsidRPr="00C532E7" w:rsidRDefault="000B0FBB" w:rsidP="00C419AB">
      <w:pPr>
        <w:pStyle w:val="FootnoteText"/>
        <w:ind w:firstLine="0"/>
        <w:rPr>
          <w:sz w:val="22"/>
        </w:rPr>
      </w:pPr>
      <w:r w:rsidRPr="00C532E7">
        <w:rPr>
          <w:rStyle w:val="FootnoteReference"/>
          <w:sz w:val="22"/>
        </w:rPr>
        <w:footnoteRef/>
      </w:r>
      <w:r w:rsidRPr="00C532E7">
        <w:rPr>
          <w:rFonts w:hint="eastAsia"/>
          <w:sz w:val="22"/>
        </w:rPr>
        <w:t>朱寿庆</w:t>
      </w:r>
      <w:r w:rsidRPr="00C532E7">
        <w:rPr>
          <w:sz w:val="22"/>
        </w:rPr>
        <w:t>是世界资源研究所</w:t>
      </w:r>
      <w:r w:rsidRPr="00C532E7">
        <w:rPr>
          <w:rFonts w:hint="eastAsia"/>
          <w:sz w:val="22"/>
        </w:rPr>
        <w:t>（</w:t>
      </w:r>
      <w:r w:rsidRPr="00C532E7">
        <w:rPr>
          <w:rFonts w:hint="eastAsia"/>
          <w:sz w:val="22"/>
        </w:rPr>
        <w:t>W</w:t>
      </w:r>
      <w:r w:rsidRPr="00C532E7">
        <w:rPr>
          <w:sz w:val="22"/>
        </w:rPr>
        <w:t>orld Resources Institute</w:t>
      </w:r>
      <w:r w:rsidRPr="00C532E7">
        <w:rPr>
          <w:sz w:val="22"/>
        </w:rPr>
        <w:t>）的</w:t>
      </w:r>
      <w:r w:rsidRPr="00C532E7">
        <w:rPr>
          <w:rFonts w:hint="eastAsia"/>
          <w:sz w:val="22"/>
        </w:rPr>
        <w:t>高级</w:t>
      </w:r>
      <w:r w:rsidRPr="00C532E7">
        <w:rPr>
          <w:sz w:val="22"/>
        </w:rPr>
        <w:t>研究员</w:t>
      </w:r>
      <w:r w:rsidRPr="00C532E7">
        <w:rPr>
          <w:rFonts w:hint="eastAsia"/>
          <w:sz w:val="22"/>
        </w:rPr>
        <w:t>、</w:t>
      </w:r>
      <w:r w:rsidRPr="00C532E7">
        <w:rPr>
          <w:sz w:val="22"/>
        </w:rPr>
        <w:t>周李焕是世界资源</w:t>
      </w:r>
      <w:r w:rsidRPr="00C532E7">
        <w:rPr>
          <w:rFonts w:hint="eastAsia"/>
          <w:sz w:val="22"/>
        </w:rPr>
        <w:t>研究所</w:t>
      </w:r>
      <w:r w:rsidRPr="00C532E7">
        <w:rPr>
          <w:sz w:val="22"/>
        </w:rPr>
        <w:t>的研究助理</w:t>
      </w:r>
      <w:r w:rsidRPr="00C532E7">
        <w:rPr>
          <w:rFonts w:hint="eastAsia"/>
          <w:sz w:val="22"/>
        </w:rPr>
        <w:t>。</w:t>
      </w:r>
    </w:p>
  </w:footnote>
  <w:footnote w:id="2">
    <w:p w:rsidR="000B0FBB" w:rsidRPr="00901932" w:rsidRDefault="000B0FBB" w:rsidP="00C419AB">
      <w:pPr>
        <w:pStyle w:val="FootnoteText"/>
        <w:ind w:firstLine="0"/>
      </w:pPr>
      <w:r w:rsidRPr="00C532E7">
        <w:rPr>
          <w:rStyle w:val="FootnoteReference"/>
          <w:sz w:val="22"/>
        </w:rPr>
        <w:footnoteRef/>
      </w:r>
      <w:r w:rsidRPr="00C532E7">
        <w:rPr>
          <w:rFonts w:hint="eastAsia"/>
          <w:b/>
          <w:sz w:val="22"/>
        </w:rPr>
        <w:t>免责</w:t>
      </w:r>
      <w:r w:rsidRPr="00C532E7">
        <w:rPr>
          <w:b/>
          <w:sz w:val="22"/>
        </w:rPr>
        <w:t>申明</w:t>
      </w:r>
      <w:r w:rsidRPr="00C532E7">
        <w:rPr>
          <w:sz w:val="22"/>
        </w:rPr>
        <w:t>：</w:t>
      </w:r>
      <w:r w:rsidRPr="00C532E7">
        <w:rPr>
          <w:rFonts w:hint="eastAsia"/>
          <w:sz w:val="22"/>
        </w:rPr>
        <w:t>本文</w:t>
      </w:r>
      <w:r w:rsidRPr="00C532E7">
        <w:rPr>
          <w:sz w:val="22"/>
        </w:rPr>
        <w:t>发表的看法、阐述和结论仅为作者的观点，</w:t>
      </w:r>
      <w:r w:rsidRPr="00C532E7">
        <w:rPr>
          <w:rFonts w:hint="eastAsia"/>
          <w:sz w:val="22"/>
        </w:rPr>
        <w:t>不</w:t>
      </w:r>
      <w:r w:rsidRPr="00C532E7">
        <w:rPr>
          <w:sz w:val="22"/>
        </w:rPr>
        <w:t>一定反映世界资源研究所的观点或政策，也不表示世界资源研究所同意这些观点。</w:t>
      </w:r>
    </w:p>
  </w:footnote>
  <w:footnote w:id="3">
    <w:p w:rsidR="000B0FBB" w:rsidRPr="00901932" w:rsidRDefault="000B0FBB" w:rsidP="00C419AB">
      <w:pPr>
        <w:pStyle w:val="FootnoteText"/>
        <w:ind w:firstLine="0"/>
      </w:pPr>
      <w:r w:rsidRPr="00901932">
        <w:rPr>
          <w:rStyle w:val="FootnoteReference"/>
        </w:rPr>
        <w:footnoteRef/>
      </w:r>
      <w:r w:rsidRPr="00901932">
        <w:rPr>
          <w:rFonts w:hint="eastAsia"/>
        </w:rPr>
        <w:t>根据</w:t>
      </w:r>
      <w:r w:rsidRPr="00901932">
        <w:t>煤炭资源税</w:t>
      </w:r>
      <w:r w:rsidRPr="00901932">
        <w:rPr>
          <w:rFonts w:hint="eastAsia"/>
        </w:rPr>
        <w:t>税率</w:t>
      </w:r>
      <w:r w:rsidRPr="00901932">
        <w:t>（</w:t>
      </w:r>
      <w:r w:rsidRPr="00901932">
        <w:rPr>
          <w:rFonts w:hint="eastAsia"/>
        </w:rPr>
        <w:t>2</w:t>
      </w:r>
      <w:r w:rsidRPr="00901932">
        <w:t>%-10%</w:t>
      </w:r>
      <w:r w:rsidRPr="00901932">
        <w:t>）</w:t>
      </w:r>
      <w:r w:rsidRPr="00901932">
        <w:rPr>
          <w:rFonts w:hint="eastAsia"/>
        </w:rPr>
        <w:t>最高</w:t>
      </w:r>
      <w:r w:rsidRPr="00901932">
        <w:t>税率（</w:t>
      </w:r>
      <w:r w:rsidRPr="00901932">
        <w:rPr>
          <w:rFonts w:hint="eastAsia"/>
        </w:rPr>
        <w:t>10</w:t>
      </w:r>
      <w:r w:rsidRPr="00901932">
        <w:t>%</w:t>
      </w:r>
      <w:r w:rsidRPr="00901932">
        <w:t>）</w:t>
      </w:r>
      <w:r w:rsidRPr="00901932">
        <w:rPr>
          <w:rFonts w:hint="eastAsia"/>
        </w:rPr>
        <w:t>估算</w:t>
      </w:r>
      <w:r w:rsidRPr="00901932">
        <w:t>得出。</w:t>
      </w:r>
    </w:p>
  </w:footnote>
  <w:footnote w:id="4">
    <w:p w:rsidR="000B0FBB" w:rsidRPr="00901932" w:rsidRDefault="000B0FBB" w:rsidP="00C419AB">
      <w:pPr>
        <w:pStyle w:val="FootnoteText"/>
        <w:ind w:firstLine="0"/>
      </w:pPr>
      <w:r w:rsidRPr="00901932">
        <w:rPr>
          <w:rStyle w:val="FootnoteReference"/>
        </w:rPr>
        <w:footnoteRef/>
      </w:r>
      <w:r w:rsidRPr="00901932">
        <w:rPr>
          <w:rFonts w:hint="eastAsia"/>
        </w:rPr>
        <w:t>The Green Investment Bank: Policy and Finance Context</w:t>
      </w:r>
    </w:p>
  </w:footnote>
  <w:footnote w:id="5">
    <w:p w:rsidR="000B0FBB" w:rsidRPr="00901932" w:rsidRDefault="000B0FBB" w:rsidP="00C419AB">
      <w:pPr>
        <w:pStyle w:val="FootnoteText"/>
        <w:ind w:firstLine="0"/>
      </w:pPr>
      <w:r w:rsidRPr="00901932">
        <w:rPr>
          <w:rStyle w:val="FootnoteReference"/>
        </w:rPr>
        <w:footnoteRef/>
      </w:r>
      <w:r w:rsidRPr="00901932">
        <w:rPr>
          <w:rFonts w:hint="eastAsia"/>
        </w:rPr>
        <w:t xml:space="preserve">2014 Annual Report, </w:t>
      </w:r>
      <w:r w:rsidRPr="00901932">
        <w:t>U.K.</w:t>
      </w:r>
      <w:r w:rsidRPr="00901932">
        <w:rPr>
          <w:rFonts w:hint="eastAsia"/>
        </w:rPr>
        <w:t xml:space="preserve"> Green Investment Bank</w:t>
      </w:r>
    </w:p>
  </w:footnote>
  <w:footnote w:id="6">
    <w:p w:rsidR="000B0FBB" w:rsidRPr="00901932" w:rsidRDefault="000B0FBB" w:rsidP="00C419AB">
      <w:pPr>
        <w:pStyle w:val="FootnoteText"/>
        <w:ind w:firstLine="0"/>
      </w:pPr>
      <w:r w:rsidRPr="00901932">
        <w:rPr>
          <w:rStyle w:val="FootnoteReference"/>
        </w:rPr>
        <w:footnoteRef/>
      </w:r>
      <w:r w:rsidRPr="00901932">
        <w:rPr>
          <w:rFonts w:hint="eastAsia"/>
        </w:rPr>
        <w:t>New York Green Bank Business Plan, June 2014</w:t>
      </w:r>
    </w:p>
  </w:footnote>
  <w:footnote w:id="7">
    <w:p w:rsidR="000B0FBB" w:rsidRPr="00901932" w:rsidRDefault="000B0FBB" w:rsidP="00C419AB">
      <w:pPr>
        <w:pStyle w:val="FootnoteText"/>
        <w:ind w:firstLine="0"/>
      </w:pPr>
      <w:r w:rsidRPr="00901932">
        <w:rPr>
          <w:rStyle w:val="FootnoteReference"/>
        </w:rPr>
        <w:footnoteRef/>
      </w:r>
      <w:r w:rsidRPr="00901932">
        <w:rPr>
          <w:rFonts w:hint="eastAsia"/>
        </w:rPr>
        <w:t xml:space="preserve">Connecticut Green Bank Comprehensive Plan: Fiscal Years 2015 </w:t>
      </w:r>
      <w:r w:rsidRPr="00901932">
        <w:t>and 2016</w:t>
      </w:r>
    </w:p>
  </w:footnote>
  <w:footnote w:id="8">
    <w:p w:rsidR="000B0FBB" w:rsidRPr="00901932" w:rsidRDefault="000B0FBB" w:rsidP="00C419AB">
      <w:pPr>
        <w:pStyle w:val="FootnoteText"/>
        <w:ind w:firstLine="0"/>
      </w:pPr>
      <w:r w:rsidRPr="00901932">
        <w:rPr>
          <w:rStyle w:val="FootnoteReference"/>
        </w:rPr>
        <w:footnoteRef/>
      </w:r>
      <w:r w:rsidRPr="00901932">
        <w:rPr>
          <w:rFonts w:hint="eastAsia"/>
        </w:rPr>
        <w:t>New Jersey Energy Resilience Bank Grant and Loan Financing Program Guide, October 14, 2014.</w:t>
      </w:r>
    </w:p>
  </w:footnote>
  <w:footnote w:id="9">
    <w:p w:rsidR="000B0FBB" w:rsidRPr="00901932" w:rsidRDefault="000B0FBB" w:rsidP="00C419AB">
      <w:pPr>
        <w:pStyle w:val="FootnoteText"/>
        <w:ind w:firstLine="0"/>
      </w:pPr>
      <w:r w:rsidRPr="00901932">
        <w:rPr>
          <w:rStyle w:val="FootnoteReference"/>
        </w:rPr>
        <w:footnoteRef/>
      </w:r>
      <w:r w:rsidRPr="00901932">
        <w:rPr>
          <w:rFonts w:hint="eastAsia"/>
          <w:szCs w:val="32"/>
        </w:rPr>
        <w:t>澳</w:t>
      </w:r>
      <w:r w:rsidRPr="00901932">
        <w:rPr>
          <w:szCs w:val="32"/>
        </w:rPr>
        <w:t>大利亚《</w:t>
      </w:r>
      <w:r w:rsidRPr="00901932">
        <w:rPr>
          <w:rFonts w:hint="eastAsia"/>
          <w:szCs w:val="32"/>
        </w:rPr>
        <w:t>2012</w:t>
      </w:r>
      <w:r w:rsidRPr="00901932">
        <w:rPr>
          <w:rFonts w:hint="eastAsia"/>
          <w:szCs w:val="32"/>
        </w:rPr>
        <w:t>年</w:t>
      </w:r>
      <w:r w:rsidRPr="00901932">
        <w:rPr>
          <w:szCs w:val="32"/>
        </w:rPr>
        <w:t>清洁能源金融公司</w:t>
      </w:r>
      <w:r w:rsidRPr="00901932">
        <w:rPr>
          <w:rFonts w:hint="eastAsia"/>
          <w:szCs w:val="32"/>
        </w:rPr>
        <w:t>法案</w:t>
      </w:r>
      <w:r w:rsidRPr="00901932">
        <w:rPr>
          <w:szCs w:val="32"/>
        </w:rPr>
        <w:t>》</w:t>
      </w:r>
    </w:p>
  </w:footnote>
  <w:footnote w:id="10">
    <w:p w:rsidR="000B0FBB" w:rsidRPr="00901932" w:rsidRDefault="000B0FBB" w:rsidP="00C419AB">
      <w:pPr>
        <w:pStyle w:val="FootnoteText"/>
        <w:ind w:firstLine="0"/>
      </w:pPr>
      <w:r w:rsidRPr="00901932">
        <w:rPr>
          <w:rStyle w:val="FootnoteReference"/>
        </w:rPr>
        <w:footnoteRef/>
      </w:r>
      <w:r w:rsidRPr="00901932">
        <w:rPr>
          <w:rFonts w:hint="eastAsia"/>
        </w:rPr>
        <w:t xml:space="preserve">2014 Annual Report, </w:t>
      </w:r>
      <w:r w:rsidRPr="00901932">
        <w:t>U.K.</w:t>
      </w:r>
      <w:r w:rsidRPr="00901932">
        <w:rPr>
          <w:rFonts w:hint="eastAsia"/>
        </w:rPr>
        <w:t xml:space="preserve"> Green Investment Bank</w:t>
      </w:r>
    </w:p>
  </w:footnote>
  <w:footnote w:id="11">
    <w:p w:rsidR="000B0FBB" w:rsidRPr="00901932" w:rsidRDefault="000B0FBB" w:rsidP="00C419AB">
      <w:pPr>
        <w:pStyle w:val="FootnoteText"/>
        <w:ind w:firstLine="0"/>
      </w:pPr>
      <w:r w:rsidRPr="00901932">
        <w:rPr>
          <w:rStyle w:val="FootnoteReference"/>
        </w:rPr>
        <w:footnoteRef/>
      </w:r>
      <w:r w:rsidRPr="00901932">
        <w:rPr>
          <w:rFonts w:hint="eastAsia"/>
        </w:rPr>
        <w:t xml:space="preserve">2014 Annual Report, </w:t>
      </w:r>
      <w:r w:rsidRPr="00901932">
        <w:t>U.K.</w:t>
      </w:r>
      <w:r w:rsidRPr="00901932">
        <w:rPr>
          <w:rFonts w:hint="eastAsia"/>
        </w:rPr>
        <w:t xml:space="preserve"> Green Investment Bank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ABE"/>
    <w:multiLevelType w:val="hybridMultilevel"/>
    <w:tmpl w:val="A9860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C63997"/>
    <w:multiLevelType w:val="hybridMultilevel"/>
    <w:tmpl w:val="0ED6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204A61"/>
    <w:multiLevelType w:val="hybridMultilevel"/>
    <w:tmpl w:val="DE4A6738"/>
    <w:lvl w:ilvl="0" w:tplc="01822744">
      <w:start w:val="1"/>
      <w:numFmt w:val="decimal"/>
      <w:lvlText w:val="(%1)"/>
      <w:lvlJc w:val="left"/>
      <w:pPr>
        <w:ind w:left="360" w:hanging="360"/>
      </w:pPr>
      <w:rPr>
        <w:rFonts w:ascii="Times New Roman" w:hAnsi="Times New Roman" w:cs="Times New Roman"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221424"/>
    <w:multiLevelType w:val="hybridMultilevel"/>
    <w:tmpl w:val="CEB23492"/>
    <w:lvl w:ilvl="0" w:tplc="322C3ECE">
      <w:start w:val="1"/>
      <w:numFmt w:val="decimal"/>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3549746B"/>
    <w:multiLevelType w:val="hybridMultilevel"/>
    <w:tmpl w:val="2C8C6C70"/>
    <w:lvl w:ilvl="0" w:tplc="07A23322">
      <w:start w:val="1"/>
      <w:numFmt w:val="chineseCountingThousand"/>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64897"/>
    <w:multiLevelType w:val="hybridMultilevel"/>
    <w:tmpl w:val="265046C8"/>
    <w:lvl w:ilvl="0" w:tplc="E0907912">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B66EF"/>
    <w:multiLevelType w:val="hybridMultilevel"/>
    <w:tmpl w:val="DF009A12"/>
    <w:lvl w:ilvl="0" w:tplc="D6EEE12C">
      <w:start w:val="3"/>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53918"/>
    <w:multiLevelType w:val="hybridMultilevel"/>
    <w:tmpl w:val="0CC42CEC"/>
    <w:lvl w:ilvl="0" w:tplc="C8E0DCC4">
      <w:start w:val="1"/>
      <w:numFmt w:val="decimal"/>
      <w:lvlText w:val="%1、"/>
      <w:lvlJc w:val="left"/>
      <w:pPr>
        <w:ind w:left="1368" w:hanging="360"/>
      </w:pPr>
      <w:rPr>
        <w:rFonts w:ascii="Times New Roman" w:hAnsi="Times New Roman" w:cs="Times New Roman" w:hint="default"/>
        <w:sz w:val="32"/>
        <w:szCs w:val="3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B8"/>
    <w:rsid w:val="0000127A"/>
    <w:rsid w:val="0000444C"/>
    <w:rsid w:val="0002120C"/>
    <w:rsid w:val="00045C93"/>
    <w:rsid w:val="0004601C"/>
    <w:rsid w:val="00046B5E"/>
    <w:rsid w:val="0006078A"/>
    <w:rsid w:val="000736BC"/>
    <w:rsid w:val="00073E38"/>
    <w:rsid w:val="00084B94"/>
    <w:rsid w:val="00087EA9"/>
    <w:rsid w:val="000B0FBB"/>
    <w:rsid w:val="000B5EE0"/>
    <w:rsid w:val="000D4072"/>
    <w:rsid w:val="000D73E3"/>
    <w:rsid w:val="000F3084"/>
    <w:rsid w:val="000F4EB9"/>
    <w:rsid w:val="000F5C3B"/>
    <w:rsid w:val="001103BA"/>
    <w:rsid w:val="00134BAA"/>
    <w:rsid w:val="00160F83"/>
    <w:rsid w:val="00163BD0"/>
    <w:rsid w:val="0018553F"/>
    <w:rsid w:val="00193797"/>
    <w:rsid w:val="00223054"/>
    <w:rsid w:val="00234D53"/>
    <w:rsid w:val="002447DE"/>
    <w:rsid w:val="00245A80"/>
    <w:rsid w:val="00257C65"/>
    <w:rsid w:val="00267DB3"/>
    <w:rsid w:val="00285FDD"/>
    <w:rsid w:val="00292ECD"/>
    <w:rsid w:val="002A10AD"/>
    <w:rsid w:val="002A1799"/>
    <w:rsid w:val="002A2C35"/>
    <w:rsid w:val="002B0DCA"/>
    <w:rsid w:val="002B3678"/>
    <w:rsid w:val="002C3CC0"/>
    <w:rsid w:val="002C5284"/>
    <w:rsid w:val="002C7974"/>
    <w:rsid w:val="002D1B1C"/>
    <w:rsid w:val="002D6790"/>
    <w:rsid w:val="002D6F9E"/>
    <w:rsid w:val="002E1878"/>
    <w:rsid w:val="002F163E"/>
    <w:rsid w:val="003004B0"/>
    <w:rsid w:val="00315AF0"/>
    <w:rsid w:val="00327C51"/>
    <w:rsid w:val="00341EFA"/>
    <w:rsid w:val="00352B4E"/>
    <w:rsid w:val="00362F23"/>
    <w:rsid w:val="003673FC"/>
    <w:rsid w:val="003716F4"/>
    <w:rsid w:val="00373DC9"/>
    <w:rsid w:val="00377E59"/>
    <w:rsid w:val="00381AED"/>
    <w:rsid w:val="003820AE"/>
    <w:rsid w:val="00382311"/>
    <w:rsid w:val="003A0229"/>
    <w:rsid w:val="003B0A91"/>
    <w:rsid w:val="003B166A"/>
    <w:rsid w:val="003B774F"/>
    <w:rsid w:val="003D4724"/>
    <w:rsid w:val="003E2602"/>
    <w:rsid w:val="003E2CA7"/>
    <w:rsid w:val="003E4525"/>
    <w:rsid w:val="003E4839"/>
    <w:rsid w:val="003F49EF"/>
    <w:rsid w:val="00404660"/>
    <w:rsid w:val="0040663B"/>
    <w:rsid w:val="004369F7"/>
    <w:rsid w:val="00444AF9"/>
    <w:rsid w:val="00451878"/>
    <w:rsid w:val="00453D1E"/>
    <w:rsid w:val="00454140"/>
    <w:rsid w:val="004574D2"/>
    <w:rsid w:val="00476955"/>
    <w:rsid w:val="0048074E"/>
    <w:rsid w:val="00485668"/>
    <w:rsid w:val="00485D0B"/>
    <w:rsid w:val="00494143"/>
    <w:rsid w:val="004A1456"/>
    <w:rsid w:val="004B212C"/>
    <w:rsid w:val="004D5468"/>
    <w:rsid w:val="004D5CCC"/>
    <w:rsid w:val="004D6623"/>
    <w:rsid w:val="004E198B"/>
    <w:rsid w:val="004E5B5E"/>
    <w:rsid w:val="0050227A"/>
    <w:rsid w:val="00503A2D"/>
    <w:rsid w:val="00506F84"/>
    <w:rsid w:val="00513F5E"/>
    <w:rsid w:val="00522A05"/>
    <w:rsid w:val="00527A5A"/>
    <w:rsid w:val="005378F7"/>
    <w:rsid w:val="00537984"/>
    <w:rsid w:val="00557A0F"/>
    <w:rsid w:val="00567D7E"/>
    <w:rsid w:val="005741C9"/>
    <w:rsid w:val="00574969"/>
    <w:rsid w:val="005816ED"/>
    <w:rsid w:val="00591C9F"/>
    <w:rsid w:val="005B73E3"/>
    <w:rsid w:val="005B74DD"/>
    <w:rsid w:val="005D119D"/>
    <w:rsid w:val="005D52F8"/>
    <w:rsid w:val="005E19DD"/>
    <w:rsid w:val="00601427"/>
    <w:rsid w:val="00615CC2"/>
    <w:rsid w:val="00641AE3"/>
    <w:rsid w:val="00661FA2"/>
    <w:rsid w:val="0067602F"/>
    <w:rsid w:val="00681D71"/>
    <w:rsid w:val="00683496"/>
    <w:rsid w:val="00694FFE"/>
    <w:rsid w:val="006976A8"/>
    <w:rsid w:val="006B118C"/>
    <w:rsid w:val="006B1ABD"/>
    <w:rsid w:val="006B1E15"/>
    <w:rsid w:val="006F14F8"/>
    <w:rsid w:val="0071558B"/>
    <w:rsid w:val="00721AE2"/>
    <w:rsid w:val="00733E7E"/>
    <w:rsid w:val="00735AD1"/>
    <w:rsid w:val="00762E37"/>
    <w:rsid w:val="0076575B"/>
    <w:rsid w:val="0076692A"/>
    <w:rsid w:val="007744F7"/>
    <w:rsid w:val="0079285A"/>
    <w:rsid w:val="007945CE"/>
    <w:rsid w:val="007A26F5"/>
    <w:rsid w:val="007A2A4F"/>
    <w:rsid w:val="007C4F87"/>
    <w:rsid w:val="007C56E5"/>
    <w:rsid w:val="007C70AB"/>
    <w:rsid w:val="007E2B43"/>
    <w:rsid w:val="007E2DBD"/>
    <w:rsid w:val="007E3852"/>
    <w:rsid w:val="007E4D8F"/>
    <w:rsid w:val="007F0D90"/>
    <w:rsid w:val="007F1339"/>
    <w:rsid w:val="007F2D01"/>
    <w:rsid w:val="00805AB4"/>
    <w:rsid w:val="00820204"/>
    <w:rsid w:val="008234CE"/>
    <w:rsid w:val="00824E33"/>
    <w:rsid w:val="0082694C"/>
    <w:rsid w:val="008341C4"/>
    <w:rsid w:val="00847A48"/>
    <w:rsid w:val="00857DDE"/>
    <w:rsid w:val="00864B6C"/>
    <w:rsid w:val="008703B2"/>
    <w:rsid w:val="008729EC"/>
    <w:rsid w:val="00876FD2"/>
    <w:rsid w:val="00893D0B"/>
    <w:rsid w:val="0089674D"/>
    <w:rsid w:val="008A6066"/>
    <w:rsid w:val="008A69FC"/>
    <w:rsid w:val="008C5580"/>
    <w:rsid w:val="008C7B63"/>
    <w:rsid w:val="008D0AD2"/>
    <w:rsid w:val="008E2631"/>
    <w:rsid w:val="00901932"/>
    <w:rsid w:val="00902AFA"/>
    <w:rsid w:val="00920B14"/>
    <w:rsid w:val="009270DA"/>
    <w:rsid w:val="00967423"/>
    <w:rsid w:val="00974FB8"/>
    <w:rsid w:val="009754C5"/>
    <w:rsid w:val="0099458F"/>
    <w:rsid w:val="009968E9"/>
    <w:rsid w:val="009A63FD"/>
    <w:rsid w:val="009C463F"/>
    <w:rsid w:val="009C5160"/>
    <w:rsid w:val="009D1D4C"/>
    <w:rsid w:val="009D414E"/>
    <w:rsid w:val="009E5EE4"/>
    <w:rsid w:val="009F4010"/>
    <w:rsid w:val="00A07E65"/>
    <w:rsid w:val="00A16700"/>
    <w:rsid w:val="00A16A5E"/>
    <w:rsid w:val="00A17AF3"/>
    <w:rsid w:val="00A339A5"/>
    <w:rsid w:val="00A5047B"/>
    <w:rsid w:val="00A53804"/>
    <w:rsid w:val="00A73193"/>
    <w:rsid w:val="00A836A9"/>
    <w:rsid w:val="00A86388"/>
    <w:rsid w:val="00A86853"/>
    <w:rsid w:val="00A92FED"/>
    <w:rsid w:val="00AA1CDD"/>
    <w:rsid w:val="00AA2E2F"/>
    <w:rsid w:val="00AB0B82"/>
    <w:rsid w:val="00AC0589"/>
    <w:rsid w:val="00AC343E"/>
    <w:rsid w:val="00AF3DC2"/>
    <w:rsid w:val="00B02E15"/>
    <w:rsid w:val="00B22341"/>
    <w:rsid w:val="00B325B9"/>
    <w:rsid w:val="00B36A97"/>
    <w:rsid w:val="00B4044F"/>
    <w:rsid w:val="00B5708B"/>
    <w:rsid w:val="00B65CEF"/>
    <w:rsid w:val="00B66D9A"/>
    <w:rsid w:val="00B678E4"/>
    <w:rsid w:val="00B757A2"/>
    <w:rsid w:val="00B76F46"/>
    <w:rsid w:val="00B81136"/>
    <w:rsid w:val="00B8676B"/>
    <w:rsid w:val="00B9564A"/>
    <w:rsid w:val="00BA4A4F"/>
    <w:rsid w:val="00BC3F54"/>
    <w:rsid w:val="00BD792F"/>
    <w:rsid w:val="00BE765A"/>
    <w:rsid w:val="00BF6F71"/>
    <w:rsid w:val="00BF7A80"/>
    <w:rsid w:val="00C1467C"/>
    <w:rsid w:val="00C20080"/>
    <w:rsid w:val="00C3205F"/>
    <w:rsid w:val="00C35125"/>
    <w:rsid w:val="00C419AB"/>
    <w:rsid w:val="00C45D04"/>
    <w:rsid w:val="00C473DF"/>
    <w:rsid w:val="00C532E7"/>
    <w:rsid w:val="00C57107"/>
    <w:rsid w:val="00C578C4"/>
    <w:rsid w:val="00C615B6"/>
    <w:rsid w:val="00C90E3E"/>
    <w:rsid w:val="00C935A8"/>
    <w:rsid w:val="00CA35EA"/>
    <w:rsid w:val="00CB2DC5"/>
    <w:rsid w:val="00CD730B"/>
    <w:rsid w:val="00CF114F"/>
    <w:rsid w:val="00CF5B23"/>
    <w:rsid w:val="00D0092E"/>
    <w:rsid w:val="00D20487"/>
    <w:rsid w:val="00D22D2D"/>
    <w:rsid w:val="00D24EB0"/>
    <w:rsid w:val="00D348DD"/>
    <w:rsid w:val="00D3679C"/>
    <w:rsid w:val="00D41D80"/>
    <w:rsid w:val="00D54012"/>
    <w:rsid w:val="00D57467"/>
    <w:rsid w:val="00D60A5C"/>
    <w:rsid w:val="00D66511"/>
    <w:rsid w:val="00D70371"/>
    <w:rsid w:val="00D70E60"/>
    <w:rsid w:val="00D76C15"/>
    <w:rsid w:val="00D77AC4"/>
    <w:rsid w:val="00D8079D"/>
    <w:rsid w:val="00D902A8"/>
    <w:rsid w:val="00D913F0"/>
    <w:rsid w:val="00D94DAD"/>
    <w:rsid w:val="00DB7A48"/>
    <w:rsid w:val="00DC3A17"/>
    <w:rsid w:val="00DE081F"/>
    <w:rsid w:val="00DF163C"/>
    <w:rsid w:val="00DF54CA"/>
    <w:rsid w:val="00E00ECE"/>
    <w:rsid w:val="00E15545"/>
    <w:rsid w:val="00E30AC8"/>
    <w:rsid w:val="00E33E98"/>
    <w:rsid w:val="00E53126"/>
    <w:rsid w:val="00E56CD6"/>
    <w:rsid w:val="00E7030B"/>
    <w:rsid w:val="00E7633A"/>
    <w:rsid w:val="00E83A65"/>
    <w:rsid w:val="00E91FA2"/>
    <w:rsid w:val="00E95D95"/>
    <w:rsid w:val="00EA50A9"/>
    <w:rsid w:val="00EC23C9"/>
    <w:rsid w:val="00ED77FD"/>
    <w:rsid w:val="00EE4E1B"/>
    <w:rsid w:val="00EF7666"/>
    <w:rsid w:val="00F042EF"/>
    <w:rsid w:val="00F06548"/>
    <w:rsid w:val="00F07CA0"/>
    <w:rsid w:val="00F24930"/>
    <w:rsid w:val="00F308DB"/>
    <w:rsid w:val="00F33597"/>
    <w:rsid w:val="00F40A0D"/>
    <w:rsid w:val="00F424C9"/>
    <w:rsid w:val="00F7565D"/>
    <w:rsid w:val="00F75EB8"/>
    <w:rsid w:val="00F7786F"/>
    <w:rsid w:val="00FA5387"/>
    <w:rsid w:val="00FC037E"/>
    <w:rsid w:val="00FD6278"/>
    <w:rsid w:val="00FE6286"/>
    <w:rsid w:val="00FF0027"/>
    <w:rsid w:val="00FF05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AD"/>
    <w:pPr>
      <w:spacing w:after="0" w:line="360" w:lineRule="auto"/>
      <w:ind w:firstLine="648"/>
      <w:jc w:val="both"/>
    </w:pPr>
    <w:rPr>
      <w:rFonts w:ascii="Times New Roman" w:eastAsia="仿宋" w:hAnsi="Times New Roman"/>
      <w:sz w:val="32"/>
    </w:rPr>
  </w:style>
  <w:style w:type="paragraph" w:styleId="Heading1">
    <w:name w:val="heading 1"/>
    <w:basedOn w:val="Normal"/>
    <w:next w:val="Normal"/>
    <w:link w:val="Heading1Char"/>
    <w:uiPriority w:val="9"/>
    <w:qFormat/>
    <w:rsid w:val="00527A5A"/>
    <w:pPr>
      <w:keepNext/>
      <w:keepLines/>
      <w:spacing w:before="240" w:after="240"/>
      <w:jc w:val="center"/>
      <w:outlineLvl w:val="0"/>
    </w:pPr>
    <w:rPr>
      <w:rFonts w:ascii="黑体" w:eastAsia="黑体" w:hAnsi="黑体" w:cstheme="majorBidi"/>
      <w:sz w:val="36"/>
      <w:szCs w:val="32"/>
    </w:rPr>
  </w:style>
  <w:style w:type="paragraph" w:styleId="Heading2">
    <w:name w:val="heading 2"/>
    <w:basedOn w:val="Normal"/>
    <w:next w:val="Normal"/>
    <w:link w:val="Heading2Char"/>
    <w:uiPriority w:val="9"/>
    <w:unhideWhenUsed/>
    <w:qFormat/>
    <w:rsid w:val="00527A5A"/>
    <w:pPr>
      <w:keepNext/>
      <w:keepLines/>
      <w:spacing w:before="120" w:after="120"/>
      <w:outlineLvl w:val="1"/>
    </w:pPr>
    <w:rPr>
      <w:rFonts w:asciiTheme="majorHAnsi" w:eastAsia="黑体" w:hAnsiTheme="majorHAnsi" w:cstheme="majorBidi"/>
      <w:szCs w:val="26"/>
    </w:rPr>
  </w:style>
  <w:style w:type="paragraph" w:styleId="Heading3">
    <w:name w:val="heading 3"/>
    <w:basedOn w:val="Normal"/>
    <w:next w:val="Normal"/>
    <w:link w:val="Heading3Char"/>
    <w:uiPriority w:val="9"/>
    <w:unhideWhenUsed/>
    <w:qFormat/>
    <w:rsid w:val="002A1799"/>
    <w:pPr>
      <w:keepNext/>
      <w:keepLines/>
      <w:spacing w:before="160" w:after="120"/>
      <w:outlineLvl w:val="2"/>
    </w:pPr>
    <w:rPr>
      <w:rFonts w:asciiTheme="majorHAnsi" w:eastAsia="楷体"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5A8"/>
    <w:pPr>
      <w:ind w:left="720"/>
      <w:contextualSpacing/>
    </w:pPr>
  </w:style>
  <w:style w:type="character" w:customStyle="1" w:styleId="Heading1Char">
    <w:name w:val="Heading 1 Char"/>
    <w:basedOn w:val="DefaultParagraphFont"/>
    <w:link w:val="Heading1"/>
    <w:uiPriority w:val="9"/>
    <w:rsid w:val="00527A5A"/>
    <w:rPr>
      <w:rFonts w:ascii="黑体" w:eastAsia="黑体" w:hAnsi="黑体" w:cstheme="majorBidi"/>
      <w:sz w:val="36"/>
      <w:szCs w:val="32"/>
    </w:rPr>
  </w:style>
  <w:style w:type="character" w:customStyle="1" w:styleId="Heading2Char">
    <w:name w:val="Heading 2 Char"/>
    <w:basedOn w:val="DefaultParagraphFont"/>
    <w:link w:val="Heading2"/>
    <w:uiPriority w:val="9"/>
    <w:rsid w:val="00527A5A"/>
    <w:rPr>
      <w:rFonts w:asciiTheme="majorHAnsi" w:eastAsia="黑体" w:hAnsiTheme="majorHAnsi" w:cstheme="majorBidi"/>
      <w:sz w:val="32"/>
      <w:szCs w:val="26"/>
    </w:rPr>
  </w:style>
  <w:style w:type="character" w:customStyle="1" w:styleId="Heading3Char">
    <w:name w:val="Heading 3 Char"/>
    <w:basedOn w:val="DefaultParagraphFont"/>
    <w:link w:val="Heading3"/>
    <w:uiPriority w:val="9"/>
    <w:rsid w:val="002A1799"/>
    <w:rPr>
      <w:rFonts w:asciiTheme="majorHAnsi" w:eastAsia="楷体" w:hAnsiTheme="majorHAnsi" w:cstheme="majorBidi"/>
      <w:sz w:val="32"/>
      <w:szCs w:val="24"/>
    </w:rPr>
  </w:style>
  <w:style w:type="paragraph" w:styleId="NoSpacing">
    <w:name w:val="No Spacing"/>
    <w:uiPriority w:val="1"/>
    <w:qFormat/>
    <w:rsid w:val="0089674D"/>
    <w:pPr>
      <w:spacing w:after="0" w:line="240" w:lineRule="auto"/>
      <w:ind w:firstLine="648"/>
      <w:jc w:val="both"/>
    </w:pPr>
    <w:rPr>
      <w:rFonts w:eastAsia="仿宋"/>
      <w:sz w:val="32"/>
    </w:rPr>
  </w:style>
  <w:style w:type="paragraph" w:styleId="Title">
    <w:name w:val="Title"/>
    <w:basedOn w:val="Normal"/>
    <w:next w:val="Normal"/>
    <w:link w:val="TitleChar"/>
    <w:uiPriority w:val="10"/>
    <w:qFormat/>
    <w:rsid w:val="00352B4E"/>
    <w:pPr>
      <w:contextualSpacing/>
    </w:pPr>
    <w:rPr>
      <w:rFonts w:asciiTheme="majorHAnsi" w:eastAsia="黑体" w:hAnsiTheme="majorHAnsi" w:cstheme="majorBidi"/>
      <w:b/>
      <w:spacing w:val="-10"/>
      <w:kern w:val="28"/>
      <w:sz w:val="52"/>
      <w:szCs w:val="56"/>
    </w:rPr>
  </w:style>
  <w:style w:type="character" w:customStyle="1" w:styleId="TitleChar">
    <w:name w:val="Title Char"/>
    <w:basedOn w:val="DefaultParagraphFont"/>
    <w:link w:val="Title"/>
    <w:uiPriority w:val="10"/>
    <w:rsid w:val="00352B4E"/>
    <w:rPr>
      <w:rFonts w:asciiTheme="majorHAnsi" w:eastAsia="黑体" w:hAnsiTheme="majorHAnsi" w:cstheme="majorBidi"/>
      <w:b/>
      <w:spacing w:val="-10"/>
      <w:kern w:val="28"/>
      <w:sz w:val="52"/>
      <w:szCs w:val="56"/>
    </w:rPr>
  </w:style>
  <w:style w:type="paragraph" w:styleId="BalloonText">
    <w:name w:val="Balloon Text"/>
    <w:basedOn w:val="Normal"/>
    <w:link w:val="BalloonTextChar"/>
    <w:uiPriority w:val="99"/>
    <w:semiHidden/>
    <w:unhideWhenUsed/>
    <w:rsid w:val="00267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DB3"/>
    <w:rPr>
      <w:rFonts w:ascii="Tahoma" w:eastAsia="仿宋" w:hAnsi="Tahoma" w:cs="Tahoma"/>
      <w:sz w:val="16"/>
      <w:szCs w:val="16"/>
    </w:rPr>
  </w:style>
  <w:style w:type="paragraph" w:styleId="FootnoteText">
    <w:name w:val="footnote text"/>
    <w:basedOn w:val="Normal"/>
    <w:link w:val="FootnoteTextChar"/>
    <w:uiPriority w:val="99"/>
    <w:semiHidden/>
    <w:unhideWhenUsed/>
    <w:rsid w:val="00C473DF"/>
    <w:pPr>
      <w:spacing w:line="240" w:lineRule="auto"/>
    </w:pPr>
    <w:rPr>
      <w:sz w:val="20"/>
      <w:szCs w:val="20"/>
    </w:rPr>
  </w:style>
  <w:style w:type="character" w:customStyle="1" w:styleId="FootnoteTextChar">
    <w:name w:val="Footnote Text Char"/>
    <w:basedOn w:val="DefaultParagraphFont"/>
    <w:link w:val="FootnoteText"/>
    <w:uiPriority w:val="99"/>
    <w:semiHidden/>
    <w:rsid w:val="00C473DF"/>
    <w:rPr>
      <w:rFonts w:eastAsia="仿宋"/>
      <w:sz w:val="20"/>
      <w:szCs w:val="20"/>
    </w:rPr>
  </w:style>
  <w:style w:type="character" w:styleId="FootnoteReference">
    <w:name w:val="footnote reference"/>
    <w:basedOn w:val="DefaultParagraphFont"/>
    <w:uiPriority w:val="99"/>
    <w:semiHidden/>
    <w:unhideWhenUsed/>
    <w:rsid w:val="00C473DF"/>
    <w:rPr>
      <w:vertAlign w:val="superscript"/>
    </w:rPr>
  </w:style>
  <w:style w:type="paragraph" w:styleId="Header">
    <w:name w:val="header"/>
    <w:basedOn w:val="Normal"/>
    <w:link w:val="HeaderChar"/>
    <w:uiPriority w:val="99"/>
    <w:unhideWhenUsed/>
    <w:rsid w:val="00824E33"/>
    <w:pPr>
      <w:tabs>
        <w:tab w:val="center" w:pos="4320"/>
        <w:tab w:val="right" w:pos="8640"/>
      </w:tabs>
      <w:spacing w:line="240" w:lineRule="auto"/>
    </w:pPr>
  </w:style>
  <w:style w:type="character" w:customStyle="1" w:styleId="HeaderChar">
    <w:name w:val="Header Char"/>
    <w:basedOn w:val="DefaultParagraphFont"/>
    <w:link w:val="Header"/>
    <w:uiPriority w:val="99"/>
    <w:rsid w:val="00824E33"/>
    <w:rPr>
      <w:rFonts w:eastAsia="仿宋"/>
      <w:sz w:val="32"/>
    </w:rPr>
  </w:style>
  <w:style w:type="paragraph" w:styleId="Footer">
    <w:name w:val="footer"/>
    <w:basedOn w:val="Normal"/>
    <w:link w:val="FooterChar"/>
    <w:uiPriority w:val="99"/>
    <w:unhideWhenUsed/>
    <w:rsid w:val="00824E33"/>
    <w:pPr>
      <w:tabs>
        <w:tab w:val="center" w:pos="4320"/>
        <w:tab w:val="right" w:pos="8640"/>
      </w:tabs>
      <w:spacing w:line="240" w:lineRule="auto"/>
    </w:pPr>
  </w:style>
  <w:style w:type="character" w:customStyle="1" w:styleId="FooterChar">
    <w:name w:val="Footer Char"/>
    <w:basedOn w:val="DefaultParagraphFont"/>
    <w:link w:val="Footer"/>
    <w:uiPriority w:val="99"/>
    <w:rsid w:val="00824E33"/>
    <w:rPr>
      <w:rFonts w:eastAsia="仿宋"/>
      <w:sz w:val="32"/>
    </w:rPr>
  </w:style>
  <w:style w:type="character" w:styleId="CommentReference">
    <w:name w:val="annotation reference"/>
    <w:basedOn w:val="DefaultParagraphFont"/>
    <w:uiPriority w:val="99"/>
    <w:semiHidden/>
    <w:unhideWhenUsed/>
    <w:rsid w:val="002D6F9E"/>
    <w:rPr>
      <w:sz w:val="21"/>
      <w:szCs w:val="21"/>
    </w:rPr>
  </w:style>
  <w:style w:type="paragraph" w:styleId="CommentText">
    <w:name w:val="annotation text"/>
    <w:basedOn w:val="Normal"/>
    <w:link w:val="CommentTextChar"/>
    <w:uiPriority w:val="99"/>
    <w:semiHidden/>
    <w:unhideWhenUsed/>
    <w:rsid w:val="002D6F9E"/>
    <w:pPr>
      <w:jc w:val="left"/>
    </w:pPr>
  </w:style>
  <w:style w:type="character" w:customStyle="1" w:styleId="CommentTextChar">
    <w:name w:val="Comment Text Char"/>
    <w:basedOn w:val="DefaultParagraphFont"/>
    <w:link w:val="CommentText"/>
    <w:uiPriority w:val="99"/>
    <w:semiHidden/>
    <w:rsid w:val="002D6F9E"/>
    <w:rPr>
      <w:rFonts w:eastAsia="仿宋"/>
      <w:sz w:val="32"/>
    </w:rPr>
  </w:style>
  <w:style w:type="paragraph" w:styleId="CommentSubject">
    <w:name w:val="annotation subject"/>
    <w:basedOn w:val="CommentText"/>
    <w:next w:val="CommentText"/>
    <w:link w:val="CommentSubjectChar"/>
    <w:uiPriority w:val="99"/>
    <w:semiHidden/>
    <w:unhideWhenUsed/>
    <w:rsid w:val="002D6F9E"/>
    <w:rPr>
      <w:b/>
      <w:bCs/>
    </w:rPr>
  </w:style>
  <w:style w:type="character" w:customStyle="1" w:styleId="CommentSubjectChar">
    <w:name w:val="Comment Subject Char"/>
    <w:basedOn w:val="CommentTextChar"/>
    <w:link w:val="CommentSubject"/>
    <w:uiPriority w:val="99"/>
    <w:semiHidden/>
    <w:rsid w:val="002D6F9E"/>
    <w:rPr>
      <w:rFonts w:eastAsia="仿宋"/>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AD"/>
    <w:pPr>
      <w:spacing w:after="0" w:line="360" w:lineRule="auto"/>
      <w:ind w:firstLine="648"/>
      <w:jc w:val="both"/>
    </w:pPr>
    <w:rPr>
      <w:rFonts w:ascii="Times New Roman" w:eastAsia="仿宋" w:hAnsi="Times New Roman"/>
      <w:sz w:val="32"/>
    </w:rPr>
  </w:style>
  <w:style w:type="paragraph" w:styleId="Heading1">
    <w:name w:val="heading 1"/>
    <w:basedOn w:val="Normal"/>
    <w:next w:val="Normal"/>
    <w:link w:val="Heading1Char"/>
    <w:uiPriority w:val="9"/>
    <w:qFormat/>
    <w:rsid w:val="00527A5A"/>
    <w:pPr>
      <w:keepNext/>
      <w:keepLines/>
      <w:spacing w:before="240" w:after="240"/>
      <w:jc w:val="center"/>
      <w:outlineLvl w:val="0"/>
    </w:pPr>
    <w:rPr>
      <w:rFonts w:ascii="黑体" w:eastAsia="黑体" w:hAnsi="黑体" w:cstheme="majorBidi"/>
      <w:sz w:val="36"/>
      <w:szCs w:val="32"/>
    </w:rPr>
  </w:style>
  <w:style w:type="paragraph" w:styleId="Heading2">
    <w:name w:val="heading 2"/>
    <w:basedOn w:val="Normal"/>
    <w:next w:val="Normal"/>
    <w:link w:val="Heading2Char"/>
    <w:uiPriority w:val="9"/>
    <w:unhideWhenUsed/>
    <w:qFormat/>
    <w:rsid w:val="00527A5A"/>
    <w:pPr>
      <w:keepNext/>
      <w:keepLines/>
      <w:spacing w:before="120" w:after="120"/>
      <w:outlineLvl w:val="1"/>
    </w:pPr>
    <w:rPr>
      <w:rFonts w:asciiTheme="majorHAnsi" w:eastAsia="黑体" w:hAnsiTheme="majorHAnsi" w:cstheme="majorBidi"/>
      <w:szCs w:val="26"/>
    </w:rPr>
  </w:style>
  <w:style w:type="paragraph" w:styleId="Heading3">
    <w:name w:val="heading 3"/>
    <w:basedOn w:val="Normal"/>
    <w:next w:val="Normal"/>
    <w:link w:val="Heading3Char"/>
    <w:uiPriority w:val="9"/>
    <w:unhideWhenUsed/>
    <w:qFormat/>
    <w:rsid w:val="002A1799"/>
    <w:pPr>
      <w:keepNext/>
      <w:keepLines/>
      <w:spacing w:before="160" w:after="120"/>
      <w:outlineLvl w:val="2"/>
    </w:pPr>
    <w:rPr>
      <w:rFonts w:asciiTheme="majorHAnsi" w:eastAsia="楷体"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5A8"/>
    <w:pPr>
      <w:ind w:left="720"/>
      <w:contextualSpacing/>
    </w:pPr>
  </w:style>
  <w:style w:type="character" w:customStyle="1" w:styleId="Heading1Char">
    <w:name w:val="Heading 1 Char"/>
    <w:basedOn w:val="DefaultParagraphFont"/>
    <w:link w:val="Heading1"/>
    <w:uiPriority w:val="9"/>
    <w:rsid w:val="00527A5A"/>
    <w:rPr>
      <w:rFonts w:ascii="黑体" w:eastAsia="黑体" w:hAnsi="黑体" w:cstheme="majorBidi"/>
      <w:sz w:val="36"/>
      <w:szCs w:val="32"/>
    </w:rPr>
  </w:style>
  <w:style w:type="character" w:customStyle="1" w:styleId="Heading2Char">
    <w:name w:val="Heading 2 Char"/>
    <w:basedOn w:val="DefaultParagraphFont"/>
    <w:link w:val="Heading2"/>
    <w:uiPriority w:val="9"/>
    <w:rsid w:val="00527A5A"/>
    <w:rPr>
      <w:rFonts w:asciiTheme="majorHAnsi" w:eastAsia="黑体" w:hAnsiTheme="majorHAnsi" w:cstheme="majorBidi"/>
      <w:sz w:val="32"/>
      <w:szCs w:val="26"/>
    </w:rPr>
  </w:style>
  <w:style w:type="character" w:customStyle="1" w:styleId="Heading3Char">
    <w:name w:val="Heading 3 Char"/>
    <w:basedOn w:val="DefaultParagraphFont"/>
    <w:link w:val="Heading3"/>
    <w:uiPriority w:val="9"/>
    <w:rsid w:val="002A1799"/>
    <w:rPr>
      <w:rFonts w:asciiTheme="majorHAnsi" w:eastAsia="楷体" w:hAnsiTheme="majorHAnsi" w:cstheme="majorBidi"/>
      <w:sz w:val="32"/>
      <w:szCs w:val="24"/>
    </w:rPr>
  </w:style>
  <w:style w:type="paragraph" w:styleId="NoSpacing">
    <w:name w:val="No Spacing"/>
    <w:uiPriority w:val="1"/>
    <w:qFormat/>
    <w:rsid w:val="0089674D"/>
    <w:pPr>
      <w:spacing w:after="0" w:line="240" w:lineRule="auto"/>
      <w:ind w:firstLine="648"/>
      <w:jc w:val="both"/>
    </w:pPr>
    <w:rPr>
      <w:rFonts w:eastAsia="仿宋"/>
      <w:sz w:val="32"/>
    </w:rPr>
  </w:style>
  <w:style w:type="paragraph" w:styleId="Title">
    <w:name w:val="Title"/>
    <w:basedOn w:val="Normal"/>
    <w:next w:val="Normal"/>
    <w:link w:val="TitleChar"/>
    <w:uiPriority w:val="10"/>
    <w:qFormat/>
    <w:rsid w:val="00352B4E"/>
    <w:pPr>
      <w:contextualSpacing/>
    </w:pPr>
    <w:rPr>
      <w:rFonts w:asciiTheme="majorHAnsi" w:eastAsia="黑体" w:hAnsiTheme="majorHAnsi" w:cstheme="majorBidi"/>
      <w:b/>
      <w:spacing w:val="-10"/>
      <w:kern w:val="28"/>
      <w:sz w:val="52"/>
      <w:szCs w:val="56"/>
    </w:rPr>
  </w:style>
  <w:style w:type="character" w:customStyle="1" w:styleId="TitleChar">
    <w:name w:val="Title Char"/>
    <w:basedOn w:val="DefaultParagraphFont"/>
    <w:link w:val="Title"/>
    <w:uiPriority w:val="10"/>
    <w:rsid w:val="00352B4E"/>
    <w:rPr>
      <w:rFonts w:asciiTheme="majorHAnsi" w:eastAsia="黑体" w:hAnsiTheme="majorHAnsi" w:cstheme="majorBidi"/>
      <w:b/>
      <w:spacing w:val="-10"/>
      <w:kern w:val="28"/>
      <w:sz w:val="52"/>
      <w:szCs w:val="56"/>
    </w:rPr>
  </w:style>
  <w:style w:type="paragraph" w:styleId="BalloonText">
    <w:name w:val="Balloon Text"/>
    <w:basedOn w:val="Normal"/>
    <w:link w:val="BalloonTextChar"/>
    <w:uiPriority w:val="99"/>
    <w:semiHidden/>
    <w:unhideWhenUsed/>
    <w:rsid w:val="00267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DB3"/>
    <w:rPr>
      <w:rFonts w:ascii="Tahoma" w:eastAsia="仿宋" w:hAnsi="Tahoma" w:cs="Tahoma"/>
      <w:sz w:val="16"/>
      <w:szCs w:val="16"/>
    </w:rPr>
  </w:style>
  <w:style w:type="paragraph" w:styleId="FootnoteText">
    <w:name w:val="footnote text"/>
    <w:basedOn w:val="Normal"/>
    <w:link w:val="FootnoteTextChar"/>
    <w:uiPriority w:val="99"/>
    <w:semiHidden/>
    <w:unhideWhenUsed/>
    <w:rsid w:val="00C473DF"/>
    <w:pPr>
      <w:spacing w:line="240" w:lineRule="auto"/>
    </w:pPr>
    <w:rPr>
      <w:sz w:val="20"/>
      <w:szCs w:val="20"/>
    </w:rPr>
  </w:style>
  <w:style w:type="character" w:customStyle="1" w:styleId="FootnoteTextChar">
    <w:name w:val="Footnote Text Char"/>
    <w:basedOn w:val="DefaultParagraphFont"/>
    <w:link w:val="FootnoteText"/>
    <w:uiPriority w:val="99"/>
    <w:semiHidden/>
    <w:rsid w:val="00C473DF"/>
    <w:rPr>
      <w:rFonts w:eastAsia="仿宋"/>
      <w:sz w:val="20"/>
      <w:szCs w:val="20"/>
    </w:rPr>
  </w:style>
  <w:style w:type="character" w:styleId="FootnoteReference">
    <w:name w:val="footnote reference"/>
    <w:basedOn w:val="DefaultParagraphFont"/>
    <w:uiPriority w:val="99"/>
    <w:semiHidden/>
    <w:unhideWhenUsed/>
    <w:rsid w:val="00C473DF"/>
    <w:rPr>
      <w:vertAlign w:val="superscript"/>
    </w:rPr>
  </w:style>
  <w:style w:type="paragraph" w:styleId="Header">
    <w:name w:val="header"/>
    <w:basedOn w:val="Normal"/>
    <w:link w:val="HeaderChar"/>
    <w:uiPriority w:val="99"/>
    <w:unhideWhenUsed/>
    <w:rsid w:val="00824E33"/>
    <w:pPr>
      <w:tabs>
        <w:tab w:val="center" w:pos="4320"/>
        <w:tab w:val="right" w:pos="8640"/>
      </w:tabs>
      <w:spacing w:line="240" w:lineRule="auto"/>
    </w:pPr>
  </w:style>
  <w:style w:type="character" w:customStyle="1" w:styleId="HeaderChar">
    <w:name w:val="Header Char"/>
    <w:basedOn w:val="DefaultParagraphFont"/>
    <w:link w:val="Header"/>
    <w:uiPriority w:val="99"/>
    <w:rsid w:val="00824E33"/>
    <w:rPr>
      <w:rFonts w:eastAsia="仿宋"/>
      <w:sz w:val="32"/>
    </w:rPr>
  </w:style>
  <w:style w:type="paragraph" w:styleId="Footer">
    <w:name w:val="footer"/>
    <w:basedOn w:val="Normal"/>
    <w:link w:val="FooterChar"/>
    <w:uiPriority w:val="99"/>
    <w:unhideWhenUsed/>
    <w:rsid w:val="00824E33"/>
    <w:pPr>
      <w:tabs>
        <w:tab w:val="center" w:pos="4320"/>
        <w:tab w:val="right" w:pos="8640"/>
      </w:tabs>
      <w:spacing w:line="240" w:lineRule="auto"/>
    </w:pPr>
  </w:style>
  <w:style w:type="character" w:customStyle="1" w:styleId="FooterChar">
    <w:name w:val="Footer Char"/>
    <w:basedOn w:val="DefaultParagraphFont"/>
    <w:link w:val="Footer"/>
    <w:uiPriority w:val="99"/>
    <w:rsid w:val="00824E33"/>
    <w:rPr>
      <w:rFonts w:eastAsia="仿宋"/>
      <w:sz w:val="32"/>
    </w:rPr>
  </w:style>
  <w:style w:type="character" w:styleId="CommentReference">
    <w:name w:val="annotation reference"/>
    <w:basedOn w:val="DefaultParagraphFont"/>
    <w:uiPriority w:val="99"/>
    <w:semiHidden/>
    <w:unhideWhenUsed/>
    <w:rsid w:val="002D6F9E"/>
    <w:rPr>
      <w:sz w:val="21"/>
      <w:szCs w:val="21"/>
    </w:rPr>
  </w:style>
  <w:style w:type="paragraph" w:styleId="CommentText">
    <w:name w:val="annotation text"/>
    <w:basedOn w:val="Normal"/>
    <w:link w:val="CommentTextChar"/>
    <w:uiPriority w:val="99"/>
    <w:semiHidden/>
    <w:unhideWhenUsed/>
    <w:rsid w:val="002D6F9E"/>
    <w:pPr>
      <w:jc w:val="left"/>
    </w:pPr>
  </w:style>
  <w:style w:type="character" w:customStyle="1" w:styleId="CommentTextChar">
    <w:name w:val="Comment Text Char"/>
    <w:basedOn w:val="DefaultParagraphFont"/>
    <w:link w:val="CommentText"/>
    <w:uiPriority w:val="99"/>
    <w:semiHidden/>
    <w:rsid w:val="002D6F9E"/>
    <w:rPr>
      <w:rFonts w:eastAsia="仿宋"/>
      <w:sz w:val="32"/>
    </w:rPr>
  </w:style>
  <w:style w:type="paragraph" w:styleId="CommentSubject">
    <w:name w:val="annotation subject"/>
    <w:basedOn w:val="CommentText"/>
    <w:next w:val="CommentText"/>
    <w:link w:val="CommentSubjectChar"/>
    <w:uiPriority w:val="99"/>
    <w:semiHidden/>
    <w:unhideWhenUsed/>
    <w:rsid w:val="002D6F9E"/>
    <w:rPr>
      <w:b/>
      <w:bCs/>
    </w:rPr>
  </w:style>
  <w:style w:type="character" w:customStyle="1" w:styleId="CommentSubjectChar">
    <w:name w:val="Comment Subject Char"/>
    <w:basedOn w:val="CommentTextChar"/>
    <w:link w:val="CommentSubject"/>
    <w:uiPriority w:val="99"/>
    <w:semiHidden/>
    <w:rsid w:val="002D6F9E"/>
    <w:rPr>
      <w:rFonts w:eastAsia="仿宋"/>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7082">
      <w:bodyDiv w:val="1"/>
      <w:marLeft w:val="0"/>
      <w:marRight w:val="0"/>
      <w:marTop w:val="0"/>
      <w:marBottom w:val="0"/>
      <w:divBdr>
        <w:top w:val="none" w:sz="0" w:space="0" w:color="auto"/>
        <w:left w:val="none" w:sz="0" w:space="0" w:color="auto"/>
        <w:bottom w:val="none" w:sz="0" w:space="0" w:color="auto"/>
        <w:right w:val="none" w:sz="0" w:space="0" w:color="auto"/>
      </w:divBdr>
    </w:div>
    <w:div w:id="17146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8A820A-71C7-416A-B460-229A47B0F31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F70326B-3E9C-434A-A20E-E9E6D5C5A3D0}">
      <dgm:prSet phldrT="[Text]" custT="1"/>
      <dgm:spPr/>
      <dgm:t>
        <a:bodyPr/>
        <a:lstStyle/>
        <a:p>
          <a:pPr algn="ctr"/>
          <a:r>
            <a:rPr lang="zh-CN" altLang="en-US" sz="1600">
              <a:latin typeface="仿宋" panose="02010609060101010101" pitchFamily="49" charset="-122"/>
              <a:ea typeface="仿宋" panose="02010609060101010101" pitchFamily="49" charset="-122"/>
            </a:rPr>
            <a:t>英国绿色投资银行</a:t>
          </a:r>
          <a:endParaRPr lang="en-US" altLang="zh-CN" sz="1600">
            <a:latin typeface="仿宋" panose="02010609060101010101" pitchFamily="49" charset="-122"/>
            <a:ea typeface="仿宋" panose="02010609060101010101" pitchFamily="49" charset="-122"/>
          </a:endParaRPr>
        </a:p>
        <a:p>
          <a:pPr algn="ctr"/>
          <a:r>
            <a:rPr lang="zh-CN" altLang="en-US" sz="1600">
              <a:latin typeface="仿宋" panose="02010609060101010101" pitchFamily="49" charset="-122"/>
              <a:ea typeface="仿宋" panose="02010609060101010101" pitchFamily="49" charset="-122"/>
            </a:rPr>
            <a:t>公司治理架构</a:t>
          </a:r>
          <a:endParaRPr lang="en-US" sz="1600">
            <a:latin typeface="仿宋" panose="02010609060101010101" pitchFamily="49" charset="-122"/>
            <a:ea typeface="仿宋" panose="02010609060101010101" pitchFamily="49" charset="-122"/>
          </a:endParaRPr>
        </a:p>
      </dgm:t>
    </dgm:pt>
    <dgm:pt modelId="{16302374-8ACD-4EEA-A09F-6E988CC9DEC3}" type="parTrans" cxnId="{1DE12677-58EF-4B54-A94B-D224EB1378B2}">
      <dgm:prSet/>
      <dgm:spPr/>
      <dgm:t>
        <a:bodyPr/>
        <a:lstStyle/>
        <a:p>
          <a:pPr algn="ctr"/>
          <a:endParaRPr lang="en-US" sz="1600">
            <a:latin typeface="仿宋" panose="02010609060101010101" pitchFamily="49" charset="-122"/>
            <a:ea typeface="仿宋" panose="02010609060101010101" pitchFamily="49" charset="-122"/>
          </a:endParaRPr>
        </a:p>
      </dgm:t>
    </dgm:pt>
    <dgm:pt modelId="{0BDBE70C-3D8C-41C2-8769-E52D50480789}" type="sibTrans" cxnId="{1DE12677-58EF-4B54-A94B-D224EB1378B2}">
      <dgm:prSet/>
      <dgm:spPr/>
      <dgm:t>
        <a:bodyPr/>
        <a:lstStyle/>
        <a:p>
          <a:pPr algn="ctr"/>
          <a:endParaRPr lang="en-US" sz="1600">
            <a:latin typeface="仿宋" panose="02010609060101010101" pitchFamily="49" charset="-122"/>
            <a:ea typeface="仿宋" panose="02010609060101010101" pitchFamily="49" charset="-122"/>
          </a:endParaRPr>
        </a:p>
      </dgm:t>
    </dgm:pt>
    <dgm:pt modelId="{793CF0A3-5F54-4E31-8B67-A6E8C399454D}">
      <dgm:prSet phldrT="[Text]" custT="1"/>
      <dgm:spPr/>
      <dgm:t>
        <a:bodyPr/>
        <a:lstStyle/>
        <a:p>
          <a:pPr algn="ctr"/>
          <a:r>
            <a:rPr lang="zh-CN" altLang="en-US" sz="1600">
              <a:latin typeface="仿宋" panose="02010609060101010101" pitchFamily="49" charset="-122"/>
              <a:ea typeface="仿宋" panose="02010609060101010101" pitchFamily="49" charset="-122"/>
            </a:rPr>
            <a:t>股东</a:t>
          </a:r>
          <a:endParaRPr lang="en-US" altLang="zh-CN" sz="1600">
            <a:latin typeface="仿宋" panose="02010609060101010101" pitchFamily="49" charset="-122"/>
            <a:ea typeface="仿宋" panose="02010609060101010101" pitchFamily="49" charset="-122"/>
          </a:endParaRPr>
        </a:p>
      </dgm:t>
    </dgm:pt>
    <dgm:pt modelId="{838F0C69-81D4-46DB-9942-D35F67FF8678}" type="parTrans" cxnId="{386F6229-BF26-46F1-B388-2A52E5FC3A09}">
      <dgm:prSet/>
      <dgm:spPr/>
      <dgm:t>
        <a:bodyPr/>
        <a:lstStyle/>
        <a:p>
          <a:pPr algn="ctr"/>
          <a:endParaRPr lang="en-US" sz="1600">
            <a:latin typeface="仿宋" panose="02010609060101010101" pitchFamily="49" charset="-122"/>
            <a:ea typeface="仿宋" panose="02010609060101010101" pitchFamily="49" charset="-122"/>
          </a:endParaRPr>
        </a:p>
      </dgm:t>
    </dgm:pt>
    <dgm:pt modelId="{92C8E89E-8CD0-42F4-8F93-BDD3B75DAD40}" type="sibTrans" cxnId="{386F6229-BF26-46F1-B388-2A52E5FC3A09}">
      <dgm:prSet/>
      <dgm:spPr/>
      <dgm:t>
        <a:bodyPr/>
        <a:lstStyle/>
        <a:p>
          <a:pPr algn="ctr"/>
          <a:endParaRPr lang="en-US" sz="1600">
            <a:latin typeface="仿宋" panose="02010609060101010101" pitchFamily="49" charset="-122"/>
            <a:ea typeface="仿宋" panose="02010609060101010101" pitchFamily="49" charset="-122"/>
          </a:endParaRPr>
        </a:p>
      </dgm:t>
    </dgm:pt>
    <dgm:pt modelId="{2266B953-034A-4EAE-9A77-C05BB2E779D1}">
      <dgm:prSet phldrT="[Text]" custT="1"/>
      <dgm:spPr/>
      <dgm:t>
        <a:bodyPr/>
        <a:lstStyle/>
        <a:p>
          <a:pPr algn="ctr"/>
          <a:r>
            <a:rPr lang="zh-CN" altLang="en-US" sz="1600">
              <a:latin typeface="仿宋" panose="02010609060101010101" pitchFamily="49" charset="-122"/>
              <a:ea typeface="仿宋" panose="02010609060101010101" pitchFamily="49" charset="-122"/>
            </a:rPr>
            <a:t>政策小组</a:t>
          </a:r>
          <a:endParaRPr lang="en-US" sz="1600">
            <a:latin typeface="仿宋" panose="02010609060101010101" pitchFamily="49" charset="-122"/>
            <a:ea typeface="仿宋" panose="02010609060101010101" pitchFamily="49" charset="-122"/>
          </a:endParaRPr>
        </a:p>
      </dgm:t>
    </dgm:pt>
    <dgm:pt modelId="{68196782-6E2E-430B-98CF-E59F7C1D1E26}" type="parTrans" cxnId="{C67C86D3-6507-41C3-BED8-2CB66537E9B1}">
      <dgm:prSet/>
      <dgm:spPr/>
      <dgm:t>
        <a:bodyPr/>
        <a:lstStyle/>
        <a:p>
          <a:pPr algn="ctr"/>
          <a:endParaRPr lang="en-US" sz="1600">
            <a:latin typeface="仿宋" panose="02010609060101010101" pitchFamily="49" charset="-122"/>
            <a:ea typeface="仿宋" panose="02010609060101010101" pitchFamily="49" charset="-122"/>
          </a:endParaRPr>
        </a:p>
      </dgm:t>
    </dgm:pt>
    <dgm:pt modelId="{00E9106E-982B-4B65-93BD-CE148F7442FC}" type="sibTrans" cxnId="{C67C86D3-6507-41C3-BED8-2CB66537E9B1}">
      <dgm:prSet/>
      <dgm:spPr/>
      <dgm:t>
        <a:bodyPr/>
        <a:lstStyle/>
        <a:p>
          <a:pPr algn="ctr"/>
          <a:endParaRPr lang="en-US" sz="1600">
            <a:latin typeface="仿宋" panose="02010609060101010101" pitchFamily="49" charset="-122"/>
            <a:ea typeface="仿宋" panose="02010609060101010101" pitchFamily="49" charset="-122"/>
          </a:endParaRPr>
        </a:p>
      </dgm:t>
    </dgm:pt>
    <dgm:pt modelId="{400D78D5-7D98-48AF-9792-3B941001B3AC}">
      <dgm:prSet phldrT="[Text]" custT="1"/>
      <dgm:spPr/>
      <dgm:t>
        <a:bodyPr/>
        <a:lstStyle/>
        <a:p>
          <a:pPr algn="ctr"/>
          <a:r>
            <a:rPr lang="zh-CN" altLang="en-US" sz="1600">
              <a:latin typeface="仿宋" panose="02010609060101010101" pitchFamily="49" charset="-122"/>
              <a:ea typeface="仿宋" panose="02010609060101010101" pitchFamily="49" charset="-122"/>
            </a:rPr>
            <a:t>董事会</a:t>
          </a:r>
          <a:endParaRPr lang="en-US" sz="1600">
            <a:latin typeface="仿宋" panose="02010609060101010101" pitchFamily="49" charset="-122"/>
            <a:ea typeface="仿宋" panose="02010609060101010101" pitchFamily="49" charset="-122"/>
          </a:endParaRPr>
        </a:p>
      </dgm:t>
    </dgm:pt>
    <dgm:pt modelId="{0A776A55-4CC7-47B6-8540-D68B94FDE150}" type="parTrans" cxnId="{33CD6899-335A-4BCC-A4EB-13226245B246}">
      <dgm:prSet/>
      <dgm:spPr/>
      <dgm:t>
        <a:bodyPr/>
        <a:lstStyle/>
        <a:p>
          <a:pPr algn="ctr"/>
          <a:endParaRPr lang="en-US" sz="1600">
            <a:latin typeface="仿宋" panose="02010609060101010101" pitchFamily="49" charset="-122"/>
            <a:ea typeface="仿宋" panose="02010609060101010101" pitchFamily="49" charset="-122"/>
          </a:endParaRPr>
        </a:p>
      </dgm:t>
    </dgm:pt>
    <dgm:pt modelId="{8F40FEC6-9E05-4337-8253-7FA7DC34F909}" type="sibTrans" cxnId="{33CD6899-335A-4BCC-A4EB-13226245B246}">
      <dgm:prSet/>
      <dgm:spPr/>
      <dgm:t>
        <a:bodyPr/>
        <a:lstStyle/>
        <a:p>
          <a:pPr algn="ctr"/>
          <a:endParaRPr lang="en-US" sz="1600">
            <a:latin typeface="仿宋" panose="02010609060101010101" pitchFamily="49" charset="-122"/>
            <a:ea typeface="仿宋" panose="02010609060101010101" pitchFamily="49" charset="-122"/>
          </a:endParaRPr>
        </a:p>
      </dgm:t>
    </dgm:pt>
    <dgm:pt modelId="{FE656A19-E7C7-467E-B5DB-FE6C7310B4CF}">
      <dgm:prSet custT="1"/>
      <dgm:spPr/>
      <dgm:t>
        <a:bodyPr/>
        <a:lstStyle/>
        <a:p>
          <a:pPr algn="ctr"/>
          <a:r>
            <a:rPr lang="zh-CN" altLang="en-US" sz="1600">
              <a:latin typeface="仿宋" panose="02010609060101010101" pitchFamily="49" charset="-122"/>
              <a:ea typeface="仿宋" panose="02010609060101010101" pitchFamily="49" charset="-122"/>
            </a:rPr>
            <a:t>高级管理层</a:t>
          </a:r>
          <a:endParaRPr lang="en-US" sz="1600">
            <a:latin typeface="仿宋" panose="02010609060101010101" pitchFamily="49" charset="-122"/>
            <a:ea typeface="仿宋" panose="02010609060101010101" pitchFamily="49" charset="-122"/>
          </a:endParaRPr>
        </a:p>
      </dgm:t>
    </dgm:pt>
    <dgm:pt modelId="{17736D1F-D5AC-4129-9969-BA82CCE91A96}" type="parTrans" cxnId="{C74E412A-B872-47E9-8EE6-77EEF5179669}">
      <dgm:prSet/>
      <dgm:spPr/>
      <dgm:t>
        <a:bodyPr/>
        <a:lstStyle/>
        <a:p>
          <a:pPr algn="ctr"/>
          <a:endParaRPr lang="en-US" sz="1600">
            <a:latin typeface="仿宋" panose="02010609060101010101" pitchFamily="49" charset="-122"/>
            <a:ea typeface="仿宋" panose="02010609060101010101" pitchFamily="49" charset="-122"/>
          </a:endParaRPr>
        </a:p>
      </dgm:t>
    </dgm:pt>
    <dgm:pt modelId="{BCEDDF13-59AB-4A75-9058-503E2FB1A553}" type="sibTrans" cxnId="{C74E412A-B872-47E9-8EE6-77EEF5179669}">
      <dgm:prSet/>
      <dgm:spPr/>
      <dgm:t>
        <a:bodyPr/>
        <a:lstStyle/>
        <a:p>
          <a:pPr algn="ctr"/>
          <a:endParaRPr lang="en-US" sz="1600">
            <a:latin typeface="仿宋" panose="02010609060101010101" pitchFamily="49" charset="-122"/>
            <a:ea typeface="仿宋" panose="02010609060101010101" pitchFamily="49" charset="-122"/>
          </a:endParaRPr>
        </a:p>
      </dgm:t>
    </dgm:pt>
    <dgm:pt modelId="{C04C9F67-0426-4791-AFB4-43D96426E780}">
      <dgm:prSet custT="1"/>
      <dgm:spPr/>
      <dgm:t>
        <a:bodyPr/>
        <a:lstStyle/>
        <a:p>
          <a:r>
            <a:rPr lang="zh-CN" altLang="en-US" sz="1600">
              <a:latin typeface="仿宋" panose="02010609060101010101" pitchFamily="49" charset="-122"/>
              <a:ea typeface="仿宋" panose="02010609060101010101" pitchFamily="49" charset="-122"/>
            </a:rPr>
            <a:t>董事委员会</a:t>
          </a:r>
          <a:endParaRPr lang="en-US" sz="1600">
            <a:latin typeface="仿宋" panose="02010609060101010101" pitchFamily="49" charset="-122"/>
            <a:ea typeface="仿宋" panose="02010609060101010101" pitchFamily="49" charset="-122"/>
          </a:endParaRPr>
        </a:p>
      </dgm:t>
    </dgm:pt>
    <dgm:pt modelId="{373BF219-23AB-4CA5-9591-935C9BA42798}" type="parTrans" cxnId="{999F00F6-8C9E-4B39-8A7A-A934C5EEB90D}">
      <dgm:prSet/>
      <dgm:spPr/>
      <dgm:t>
        <a:bodyPr/>
        <a:lstStyle/>
        <a:p>
          <a:endParaRPr lang="en-US" sz="1600">
            <a:latin typeface="仿宋" panose="02010609060101010101" pitchFamily="49" charset="-122"/>
            <a:ea typeface="仿宋" panose="02010609060101010101" pitchFamily="49" charset="-122"/>
          </a:endParaRPr>
        </a:p>
      </dgm:t>
    </dgm:pt>
    <dgm:pt modelId="{9D9F293B-335A-4FBB-93D9-8F25B682841F}" type="sibTrans" cxnId="{999F00F6-8C9E-4B39-8A7A-A934C5EEB90D}">
      <dgm:prSet/>
      <dgm:spPr/>
      <dgm:t>
        <a:bodyPr/>
        <a:lstStyle/>
        <a:p>
          <a:endParaRPr lang="en-US" sz="1600">
            <a:latin typeface="仿宋" panose="02010609060101010101" pitchFamily="49" charset="-122"/>
            <a:ea typeface="仿宋" panose="02010609060101010101" pitchFamily="49" charset="-122"/>
          </a:endParaRPr>
        </a:p>
      </dgm:t>
    </dgm:pt>
    <dgm:pt modelId="{FE4CDB05-D907-4E6E-8640-FFCB3C50F5EB}" type="pres">
      <dgm:prSet presAssocID="{5B8A820A-71C7-416A-B460-229A47B0F317}" presName="hierChild1" presStyleCnt="0">
        <dgm:presLayoutVars>
          <dgm:orgChart val="1"/>
          <dgm:chPref val="1"/>
          <dgm:dir/>
          <dgm:animOne val="branch"/>
          <dgm:animLvl val="lvl"/>
          <dgm:resizeHandles/>
        </dgm:presLayoutVars>
      </dgm:prSet>
      <dgm:spPr/>
      <dgm:t>
        <a:bodyPr/>
        <a:lstStyle/>
        <a:p>
          <a:endParaRPr lang="en-US"/>
        </a:p>
      </dgm:t>
    </dgm:pt>
    <dgm:pt modelId="{D7C5D02B-0716-44FD-BD05-EB8F098AA4D1}" type="pres">
      <dgm:prSet presAssocID="{8F70326B-3E9C-434A-A20E-E9E6D5C5A3D0}" presName="hierRoot1" presStyleCnt="0">
        <dgm:presLayoutVars>
          <dgm:hierBranch val="init"/>
        </dgm:presLayoutVars>
      </dgm:prSet>
      <dgm:spPr/>
    </dgm:pt>
    <dgm:pt modelId="{B57743F4-F46B-4F46-85B9-C83CF0213948}" type="pres">
      <dgm:prSet presAssocID="{8F70326B-3E9C-434A-A20E-E9E6D5C5A3D0}" presName="rootComposite1" presStyleCnt="0"/>
      <dgm:spPr/>
    </dgm:pt>
    <dgm:pt modelId="{6439A61B-B2AA-4488-B6F5-D1AE2621013E}" type="pres">
      <dgm:prSet presAssocID="{8F70326B-3E9C-434A-A20E-E9E6D5C5A3D0}" presName="rootText1" presStyleLbl="node0" presStyleIdx="0" presStyleCnt="1" custScaleX="217340" custScaleY="131765" custLinFactNeighborX="-15424" custLinFactNeighborY="4407">
        <dgm:presLayoutVars>
          <dgm:chPref val="3"/>
        </dgm:presLayoutVars>
      </dgm:prSet>
      <dgm:spPr/>
      <dgm:t>
        <a:bodyPr/>
        <a:lstStyle/>
        <a:p>
          <a:endParaRPr lang="en-US"/>
        </a:p>
      </dgm:t>
    </dgm:pt>
    <dgm:pt modelId="{B50118F9-CBA8-4E75-9E16-20E36928ED0A}" type="pres">
      <dgm:prSet presAssocID="{8F70326B-3E9C-434A-A20E-E9E6D5C5A3D0}" presName="rootConnector1" presStyleLbl="node1" presStyleIdx="0" presStyleCnt="0"/>
      <dgm:spPr/>
      <dgm:t>
        <a:bodyPr/>
        <a:lstStyle/>
        <a:p>
          <a:endParaRPr lang="en-US"/>
        </a:p>
      </dgm:t>
    </dgm:pt>
    <dgm:pt modelId="{9D2C8501-E93D-437E-9C61-79F3CEBFE95E}" type="pres">
      <dgm:prSet presAssocID="{8F70326B-3E9C-434A-A20E-E9E6D5C5A3D0}" presName="hierChild2" presStyleCnt="0"/>
      <dgm:spPr/>
    </dgm:pt>
    <dgm:pt modelId="{A945053C-A4D7-403E-BF49-E5585D332CB3}" type="pres">
      <dgm:prSet presAssocID="{838F0C69-81D4-46DB-9942-D35F67FF8678}" presName="Name37" presStyleLbl="parChTrans1D2" presStyleIdx="0" presStyleCnt="5"/>
      <dgm:spPr/>
      <dgm:t>
        <a:bodyPr/>
        <a:lstStyle/>
        <a:p>
          <a:endParaRPr lang="en-US"/>
        </a:p>
      </dgm:t>
    </dgm:pt>
    <dgm:pt modelId="{1D23413D-13C3-4A3A-A1F6-3ED090566454}" type="pres">
      <dgm:prSet presAssocID="{793CF0A3-5F54-4E31-8B67-A6E8C399454D}" presName="hierRoot2" presStyleCnt="0">
        <dgm:presLayoutVars>
          <dgm:hierBranch val="init"/>
        </dgm:presLayoutVars>
      </dgm:prSet>
      <dgm:spPr/>
    </dgm:pt>
    <dgm:pt modelId="{BCB067AC-7097-413F-8226-684E993A8677}" type="pres">
      <dgm:prSet presAssocID="{793CF0A3-5F54-4E31-8B67-A6E8C399454D}" presName="rootComposite" presStyleCnt="0"/>
      <dgm:spPr/>
    </dgm:pt>
    <dgm:pt modelId="{FFE2063D-2054-4BCF-9198-9AC289DA359A}" type="pres">
      <dgm:prSet presAssocID="{793CF0A3-5F54-4E31-8B67-A6E8C399454D}" presName="rootText" presStyleLbl="node2" presStyleIdx="0" presStyleCnt="5">
        <dgm:presLayoutVars>
          <dgm:chPref val="3"/>
        </dgm:presLayoutVars>
      </dgm:prSet>
      <dgm:spPr/>
      <dgm:t>
        <a:bodyPr/>
        <a:lstStyle/>
        <a:p>
          <a:endParaRPr lang="en-US"/>
        </a:p>
      </dgm:t>
    </dgm:pt>
    <dgm:pt modelId="{4D6D353A-CE4E-4EDE-B168-5ECC4E94D33F}" type="pres">
      <dgm:prSet presAssocID="{793CF0A3-5F54-4E31-8B67-A6E8C399454D}" presName="rootConnector" presStyleLbl="node2" presStyleIdx="0" presStyleCnt="5"/>
      <dgm:spPr/>
      <dgm:t>
        <a:bodyPr/>
        <a:lstStyle/>
        <a:p>
          <a:endParaRPr lang="en-US"/>
        </a:p>
      </dgm:t>
    </dgm:pt>
    <dgm:pt modelId="{A81625A4-5895-4AF0-B8E8-F3A1EE8A8423}" type="pres">
      <dgm:prSet presAssocID="{793CF0A3-5F54-4E31-8B67-A6E8C399454D}" presName="hierChild4" presStyleCnt="0"/>
      <dgm:spPr/>
    </dgm:pt>
    <dgm:pt modelId="{CECB0D8E-010C-41A4-8129-7B86F85D6A39}" type="pres">
      <dgm:prSet presAssocID="{793CF0A3-5F54-4E31-8B67-A6E8C399454D}" presName="hierChild5" presStyleCnt="0"/>
      <dgm:spPr/>
    </dgm:pt>
    <dgm:pt modelId="{1EB425FA-D37C-4816-A8A8-2DCC188537A0}" type="pres">
      <dgm:prSet presAssocID="{68196782-6E2E-430B-98CF-E59F7C1D1E26}" presName="Name37" presStyleLbl="parChTrans1D2" presStyleIdx="1" presStyleCnt="5"/>
      <dgm:spPr/>
      <dgm:t>
        <a:bodyPr/>
        <a:lstStyle/>
        <a:p>
          <a:endParaRPr lang="en-US"/>
        </a:p>
      </dgm:t>
    </dgm:pt>
    <dgm:pt modelId="{06B8FCE4-1B11-4B7D-B67D-005AFE6DFAB1}" type="pres">
      <dgm:prSet presAssocID="{2266B953-034A-4EAE-9A77-C05BB2E779D1}" presName="hierRoot2" presStyleCnt="0">
        <dgm:presLayoutVars>
          <dgm:hierBranch val="init"/>
        </dgm:presLayoutVars>
      </dgm:prSet>
      <dgm:spPr/>
    </dgm:pt>
    <dgm:pt modelId="{31D427FC-8B1B-497F-A0A7-3176B116DE97}" type="pres">
      <dgm:prSet presAssocID="{2266B953-034A-4EAE-9A77-C05BB2E779D1}" presName="rootComposite" presStyleCnt="0"/>
      <dgm:spPr/>
    </dgm:pt>
    <dgm:pt modelId="{C2D307F3-A033-4FE9-8DD0-F3C17E2C94D4}" type="pres">
      <dgm:prSet presAssocID="{2266B953-034A-4EAE-9A77-C05BB2E779D1}" presName="rootText" presStyleLbl="node2" presStyleIdx="1" presStyleCnt="5">
        <dgm:presLayoutVars>
          <dgm:chPref val="3"/>
        </dgm:presLayoutVars>
      </dgm:prSet>
      <dgm:spPr/>
      <dgm:t>
        <a:bodyPr/>
        <a:lstStyle/>
        <a:p>
          <a:endParaRPr lang="en-US"/>
        </a:p>
      </dgm:t>
    </dgm:pt>
    <dgm:pt modelId="{5D427647-D9E8-4EB3-A5D1-AD39DF24C801}" type="pres">
      <dgm:prSet presAssocID="{2266B953-034A-4EAE-9A77-C05BB2E779D1}" presName="rootConnector" presStyleLbl="node2" presStyleIdx="1" presStyleCnt="5"/>
      <dgm:spPr/>
      <dgm:t>
        <a:bodyPr/>
        <a:lstStyle/>
        <a:p>
          <a:endParaRPr lang="en-US"/>
        </a:p>
      </dgm:t>
    </dgm:pt>
    <dgm:pt modelId="{C77CEB41-A429-46AD-9251-C7A5BFDA98C3}" type="pres">
      <dgm:prSet presAssocID="{2266B953-034A-4EAE-9A77-C05BB2E779D1}" presName="hierChild4" presStyleCnt="0"/>
      <dgm:spPr/>
    </dgm:pt>
    <dgm:pt modelId="{55E23CE0-55D0-42D8-9810-B02707DDEAFC}" type="pres">
      <dgm:prSet presAssocID="{2266B953-034A-4EAE-9A77-C05BB2E779D1}" presName="hierChild5" presStyleCnt="0"/>
      <dgm:spPr/>
    </dgm:pt>
    <dgm:pt modelId="{F13226D7-D182-4FAF-BC04-09CBB3454DDD}" type="pres">
      <dgm:prSet presAssocID="{0A776A55-4CC7-47B6-8540-D68B94FDE150}" presName="Name37" presStyleLbl="parChTrans1D2" presStyleIdx="2" presStyleCnt="5"/>
      <dgm:spPr/>
      <dgm:t>
        <a:bodyPr/>
        <a:lstStyle/>
        <a:p>
          <a:endParaRPr lang="en-US"/>
        </a:p>
      </dgm:t>
    </dgm:pt>
    <dgm:pt modelId="{9C79C7B6-F767-4062-B084-C3B3B6E12377}" type="pres">
      <dgm:prSet presAssocID="{400D78D5-7D98-48AF-9792-3B941001B3AC}" presName="hierRoot2" presStyleCnt="0">
        <dgm:presLayoutVars>
          <dgm:hierBranch val="init"/>
        </dgm:presLayoutVars>
      </dgm:prSet>
      <dgm:spPr/>
    </dgm:pt>
    <dgm:pt modelId="{1456EF2C-02F4-4209-B75F-89926D3555CE}" type="pres">
      <dgm:prSet presAssocID="{400D78D5-7D98-48AF-9792-3B941001B3AC}" presName="rootComposite" presStyleCnt="0"/>
      <dgm:spPr/>
    </dgm:pt>
    <dgm:pt modelId="{59A501F5-F0ED-4778-AEF0-C4BC5FBA5BE3}" type="pres">
      <dgm:prSet presAssocID="{400D78D5-7D98-48AF-9792-3B941001B3AC}" presName="rootText" presStyleLbl="node2" presStyleIdx="2" presStyleCnt="5">
        <dgm:presLayoutVars>
          <dgm:chPref val="3"/>
        </dgm:presLayoutVars>
      </dgm:prSet>
      <dgm:spPr/>
      <dgm:t>
        <a:bodyPr/>
        <a:lstStyle/>
        <a:p>
          <a:endParaRPr lang="en-US"/>
        </a:p>
      </dgm:t>
    </dgm:pt>
    <dgm:pt modelId="{4E6F426F-D6E5-49FA-9D27-4489D3B8E03E}" type="pres">
      <dgm:prSet presAssocID="{400D78D5-7D98-48AF-9792-3B941001B3AC}" presName="rootConnector" presStyleLbl="node2" presStyleIdx="2" presStyleCnt="5"/>
      <dgm:spPr/>
      <dgm:t>
        <a:bodyPr/>
        <a:lstStyle/>
        <a:p>
          <a:endParaRPr lang="en-US"/>
        </a:p>
      </dgm:t>
    </dgm:pt>
    <dgm:pt modelId="{8F39EB8E-23CE-489C-926A-BFC542F881F3}" type="pres">
      <dgm:prSet presAssocID="{400D78D5-7D98-48AF-9792-3B941001B3AC}" presName="hierChild4" presStyleCnt="0"/>
      <dgm:spPr/>
    </dgm:pt>
    <dgm:pt modelId="{57CEF1FB-B6E9-4A82-A025-D700A3DC5CDB}" type="pres">
      <dgm:prSet presAssocID="{400D78D5-7D98-48AF-9792-3B941001B3AC}" presName="hierChild5" presStyleCnt="0"/>
      <dgm:spPr/>
    </dgm:pt>
    <dgm:pt modelId="{1E719347-E02E-4122-9D47-3B2072475468}" type="pres">
      <dgm:prSet presAssocID="{373BF219-23AB-4CA5-9591-935C9BA42798}" presName="Name37" presStyleLbl="parChTrans1D2" presStyleIdx="3" presStyleCnt="5"/>
      <dgm:spPr/>
      <dgm:t>
        <a:bodyPr/>
        <a:lstStyle/>
        <a:p>
          <a:endParaRPr lang="en-US"/>
        </a:p>
      </dgm:t>
    </dgm:pt>
    <dgm:pt modelId="{E6B4011D-C476-44DB-84F1-6BD8C18F604E}" type="pres">
      <dgm:prSet presAssocID="{C04C9F67-0426-4791-AFB4-43D96426E780}" presName="hierRoot2" presStyleCnt="0">
        <dgm:presLayoutVars>
          <dgm:hierBranch val="init"/>
        </dgm:presLayoutVars>
      </dgm:prSet>
      <dgm:spPr/>
    </dgm:pt>
    <dgm:pt modelId="{B65F3BFE-D5D2-422E-A70D-D3F1BE497534}" type="pres">
      <dgm:prSet presAssocID="{C04C9F67-0426-4791-AFB4-43D96426E780}" presName="rootComposite" presStyleCnt="0"/>
      <dgm:spPr/>
    </dgm:pt>
    <dgm:pt modelId="{66720273-4E8D-44FD-A18D-B97D446AEC74}" type="pres">
      <dgm:prSet presAssocID="{C04C9F67-0426-4791-AFB4-43D96426E780}" presName="rootText" presStyleLbl="node2" presStyleIdx="3" presStyleCnt="5" custScaleX="114639">
        <dgm:presLayoutVars>
          <dgm:chPref val="3"/>
        </dgm:presLayoutVars>
      </dgm:prSet>
      <dgm:spPr/>
      <dgm:t>
        <a:bodyPr/>
        <a:lstStyle/>
        <a:p>
          <a:endParaRPr lang="en-US"/>
        </a:p>
      </dgm:t>
    </dgm:pt>
    <dgm:pt modelId="{322D8D26-AE51-4174-BE4A-3F8B4953889B}" type="pres">
      <dgm:prSet presAssocID="{C04C9F67-0426-4791-AFB4-43D96426E780}" presName="rootConnector" presStyleLbl="node2" presStyleIdx="3" presStyleCnt="5"/>
      <dgm:spPr/>
      <dgm:t>
        <a:bodyPr/>
        <a:lstStyle/>
        <a:p>
          <a:endParaRPr lang="en-US"/>
        </a:p>
      </dgm:t>
    </dgm:pt>
    <dgm:pt modelId="{BE88FBF7-11AE-47E0-BDA7-10831423FF5D}" type="pres">
      <dgm:prSet presAssocID="{C04C9F67-0426-4791-AFB4-43D96426E780}" presName="hierChild4" presStyleCnt="0"/>
      <dgm:spPr/>
    </dgm:pt>
    <dgm:pt modelId="{9D4A031C-8524-4ADF-AC7E-A7B486C398A1}" type="pres">
      <dgm:prSet presAssocID="{C04C9F67-0426-4791-AFB4-43D96426E780}" presName="hierChild5" presStyleCnt="0"/>
      <dgm:spPr/>
    </dgm:pt>
    <dgm:pt modelId="{E3D8D002-2521-41E3-84FC-15B6DC8A6497}" type="pres">
      <dgm:prSet presAssocID="{17736D1F-D5AC-4129-9969-BA82CCE91A96}" presName="Name37" presStyleLbl="parChTrans1D2" presStyleIdx="4" presStyleCnt="5"/>
      <dgm:spPr/>
      <dgm:t>
        <a:bodyPr/>
        <a:lstStyle/>
        <a:p>
          <a:endParaRPr lang="en-US"/>
        </a:p>
      </dgm:t>
    </dgm:pt>
    <dgm:pt modelId="{1F915800-6FE8-446D-B140-C888817AB331}" type="pres">
      <dgm:prSet presAssocID="{FE656A19-E7C7-467E-B5DB-FE6C7310B4CF}" presName="hierRoot2" presStyleCnt="0">
        <dgm:presLayoutVars>
          <dgm:hierBranch val="init"/>
        </dgm:presLayoutVars>
      </dgm:prSet>
      <dgm:spPr/>
    </dgm:pt>
    <dgm:pt modelId="{AAAB0542-35AA-43E1-AE92-7A69C2DD7047}" type="pres">
      <dgm:prSet presAssocID="{FE656A19-E7C7-467E-B5DB-FE6C7310B4CF}" presName="rootComposite" presStyleCnt="0"/>
      <dgm:spPr/>
    </dgm:pt>
    <dgm:pt modelId="{AA6C1969-C527-41AC-9158-387636416F50}" type="pres">
      <dgm:prSet presAssocID="{FE656A19-E7C7-467E-B5DB-FE6C7310B4CF}" presName="rootText" presStyleLbl="node2" presStyleIdx="4" presStyleCnt="5" custScaleX="115440">
        <dgm:presLayoutVars>
          <dgm:chPref val="3"/>
        </dgm:presLayoutVars>
      </dgm:prSet>
      <dgm:spPr/>
      <dgm:t>
        <a:bodyPr/>
        <a:lstStyle/>
        <a:p>
          <a:endParaRPr lang="en-US"/>
        </a:p>
      </dgm:t>
    </dgm:pt>
    <dgm:pt modelId="{706E77FB-6826-4695-8FCF-B7FBE7BC5349}" type="pres">
      <dgm:prSet presAssocID="{FE656A19-E7C7-467E-B5DB-FE6C7310B4CF}" presName="rootConnector" presStyleLbl="node2" presStyleIdx="4" presStyleCnt="5"/>
      <dgm:spPr/>
      <dgm:t>
        <a:bodyPr/>
        <a:lstStyle/>
        <a:p>
          <a:endParaRPr lang="en-US"/>
        </a:p>
      </dgm:t>
    </dgm:pt>
    <dgm:pt modelId="{57508350-ADEE-4C54-88C7-8FBB90A9F61C}" type="pres">
      <dgm:prSet presAssocID="{FE656A19-E7C7-467E-B5DB-FE6C7310B4CF}" presName="hierChild4" presStyleCnt="0"/>
      <dgm:spPr/>
    </dgm:pt>
    <dgm:pt modelId="{C8854327-6AD3-4F3E-9712-BD760E002DBF}" type="pres">
      <dgm:prSet presAssocID="{FE656A19-E7C7-467E-B5DB-FE6C7310B4CF}" presName="hierChild5" presStyleCnt="0"/>
      <dgm:spPr/>
    </dgm:pt>
    <dgm:pt modelId="{15111A3D-EE03-4A9C-863E-3F2CBBA94CC6}" type="pres">
      <dgm:prSet presAssocID="{8F70326B-3E9C-434A-A20E-E9E6D5C5A3D0}" presName="hierChild3" presStyleCnt="0"/>
      <dgm:spPr/>
    </dgm:pt>
  </dgm:ptLst>
  <dgm:cxnLst>
    <dgm:cxn modelId="{7A66F50D-CEA3-43EA-B3DC-3ED5829CEAE4}" type="presOf" srcId="{838F0C69-81D4-46DB-9942-D35F67FF8678}" destId="{A945053C-A4D7-403E-BF49-E5585D332CB3}" srcOrd="0" destOrd="0" presId="urn:microsoft.com/office/officeart/2005/8/layout/orgChart1"/>
    <dgm:cxn modelId="{D0FE5837-A910-421A-B92C-CA0A46EF5634}" type="presOf" srcId="{C04C9F67-0426-4791-AFB4-43D96426E780}" destId="{322D8D26-AE51-4174-BE4A-3F8B4953889B}" srcOrd="1" destOrd="0" presId="urn:microsoft.com/office/officeart/2005/8/layout/orgChart1"/>
    <dgm:cxn modelId="{F53F21C3-D6C7-4D4D-9591-F91748D7557B}" type="presOf" srcId="{8F70326B-3E9C-434A-A20E-E9E6D5C5A3D0}" destId="{B50118F9-CBA8-4E75-9E16-20E36928ED0A}" srcOrd="1" destOrd="0" presId="urn:microsoft.com/office/officeart/2005/8/layout/orgChart1"/>
    <dgm:cxn modelId="{D118C296-C511-4F55-92BF-FC82190BF37A}" type="presOf" srcId="{C04C9F67-0426-4791-AFB4-43D96426E780}" destId="{66720273-4E8D-44FD-A18D-B97D446AEC74}" srcOrd="0" destOrd="0" presId="urn:microsoft.com/office/officeart/2005/8/layout/orgChart1"/>
    <dgm:cxn modelId="{6C38B827-E968-4887-89C8-FF53599B610C}" type="presOf" srcId="{400D78D5-7D98-48AF-9792-3B941001B3AC}" destId="{59A501F5-F0ED-4778-AEF0-C4BC5FBA5BE3}" srcOrd="0" destOrd="0" presId="urn:microsoft.com/office/officeart/2005/8/layout/orgChart1"/>
    <dgm:cxn modelId="{C67C86D3-6507-41C3-BED8-2CB66537E9B1}" srcId="{8F70326B-3E9C-434A-A20E-E9E6D5C5A3D0}" destId="{2266B953-034A-4EAE-9A77-C05BB2E779D1}" srcOrd="1" destOrd="0" parTransId="{68196782-6E2E-430B-98CF-E59F7C1D1E26}" sibTransId="{00E9106E-982B-4B65-93BD-CE148F7442FC}"/>
    <dgm:cxn modelId="{8CE63AE5-D27F-4E52-B3E7-A92FABCB97F6}" type="presOf" srcId="{68196782-6E2E-430B-98CF-E59F7C1D1E26}" destId="{1EB425FA-D37C-4816-A8A8-2DCC188537A0}" srcOrd="0" destOrd="0" presId="urn:microsoft.com/office/officeart/2005/8/layout/orgChart1"/>
    <dgm:cxn modelId="{0136D858-CA4D-4C6A-AED4-6D2056959A8C}" type="presOf" srcId="{793CF0A3-5F54-4E31-8B67-A6E8C399454D}" destId="{4D6D353A-CE4E-4EDE-B168-5ECC4E94D33F}" srcOrd="1" destOrd="0" presId="urn:microsoft.com/office/officeart/2005/8/layout/orgChart1"/>
    <dgm:cxn modelId="{7C043752-C7C0-4F13-91B0-A61F2FC014F5}" type="presOf" srcId="{400D78D5-7D98-48AF-9792-3B941001B3AC}" destId="{4E6F426F-D6E5-49FA-9D27-4489D3B8E03E}" srcOrd="1" destOrd="0" presId="urn:microsoft.com/office/officeart/2005/8/layout/orgChart1"/>
    <dgm:cxn modelId="{1DE12677-58EF-4B54-A94B-D224EB1378B2}" srcId="{5B8A820A-71C7-416A-B460-229A47B0F317}" destId="{8F70326B-3E9C-434A-A20E-E9E6D5C5A3D0}" srcOrd="0" destOrd="0" parTransId="{16302374-8ACD-4EEA-A09F-6E988CC9DEC3}" sibTransId="{0BDBE70C-3D8C-41C2-8769-E52D50480789}"/>
    <dgm:cxn modelId="{F9F13B4A-90BD-4ECB-8CB3-D5DE37A059F6}" type="presOf" srcId="{2266B953-034A-4EAE-9A77-C05BB2E779D1}" destId="{C2D307F3-A033-4FE9-8DD0-F3C17E2C94D4}" srcOrd="0" destOrd="0" presId="urn:microsoft.com/office/officeart/2005/8/layout/orgChart1"/>
    <dgm:cxn modelId="{3E42A1B5-AF10-411D-8830-BB1A4B6C4569}" type="presOf" srcId="{FE656A19-E7C7-467E-B5DB-FE6C7310B4CF}" destId="{706E77FB-6826-4695-8FCF-B7FBE7BC5349}" srcOrd="1" destOrd="0" presId="urn:microsoft.com/office/officeart/2005/8/layout/orgChart1"/>
    <dgm:cxn modelId="{999F00F6-8C9E-4B39-8A7A-A934C5EEB90D}" srcId="{8F70326B-3E9C-434A-A20E-E9E6D5C5A3D0}" destId="{C04C9F67-0426-4791-AFB4-43D96426E780}" srcOrd="3" destOrd="0" parTransId="{373BF219-23AB-4CA5-9591-935C9BA42798}" sibTransId="{9D9F293B-335A-4FBB-93D9-8F25B682841F}"/>
    <dgm:cxn modelId="{FEDFF538-52FB-41AF-A101-9C13FB9D2CD7}" type="presOf" srcId="{793CF0A3-5F54-4E31-8B67-A6E8C399454D}" destId="{FFE2063D-2054-4BCF-9198-9AC289DA359A}" srcOrd="0" destOrd="0" presId="urn:microsoft.com/office/officeart/2005/8/layout/orgChart1"/>
    <dgm:cxn modelId="{C7C2C577-5F08-4D92-9A2B-220BCCE336CC}" type="presOf" srcId="{8F70326B-3E9C-434A-A20E-E9E6D5C5A3D0}" destId="{6439A61B-B2AA-4488-B6F5-D1AE2621013E}" srcOrd="0" destOrd="0" presId="urn:microsoft.com/office/officeart/2005/8/layout/orgChart1"/>
    <dgm:cxn modelId="{C74E412A-B872-47E9-8EE6-77EEF5179669}" srcId="{8F70326B-3E9C-434A-A20E-E9E6D5C5A3D0}" destId="{FE656A19-E7C7-467E-B5DB-FE6C7310B4CF}" srcOrd="4" destOrd="0" parTransId="{17736D1F-D5AC-4129-9969-BA82CCE91A96}" sibTransId="{BCEDDF13-59AB-4A75-9058-503E2FB1A553}"/>
    <dgm:cxn modelId="{AA1EAD95-475E-4572-A94A-6E178DEBC18C}" type="presOf" srcId="{373BF219-23AB-4CA5-9591-935C9BA42798}" destId="{1E719347-E02E-4122-9D47-3B2072475468}" srcOrd="0" destOrd="0" presId="urn:microsoft.com/office/officeart/2005/8/layout/orgChart1"/>
    <dgm:cxn modelId="{386F6229-BF26-46F1-B388-2A52E5FC3A09}" srcId="{8F70326B-3E9C-434A-A20E-E9E6D5C5A3D0}" destId="{793CF0A3-5F54-4E31-8B67-A6E8C399454D}" srcOrd="0" destOrd="0" parTransId="{838F0C69-81D4-46DB-9942-D35F67FF8678}" sibTransId="{92C8E89E-8CD0-42F4-8F93-BDD3B75DAD40}"/>
    <dgm:cxn modelId="{317C45F9-6ECE-4A54-8E70-8FE08E3908B0}" type="presOf" srcId="{0A776A55-4CC7-47B6-8540-D68B94FDE150}" destId="{F13226D7-D182-4FAF-BC04-09CBB3454DDD}" srcOrd="0" destOrd="0" presId="urn:microsoft.com/office/officeart/2005/8/layout/orgChart1"/>
    <dgm:cxn modelId="{70CA3557-9959-46B5-96C8-516FB5010C58}" type="presOf" srcId="{5B8A820A-71C7-416A-B460-229A47B0F317}" destId="{FE4CDB05-D907-4E6E-8640-FFCB3C50F5EB}" srcOrd="0" destOrd="0" presId="urn:microsoft.com/office/officeart/2005/8/layout/orgChart1"/>
    <dgm:cxn modelId="{9F71EB8B-11B7-4941-B637-AAD4BAD9583F}" type="presOf" srcId="{17736D1F-D5AC-4129-9969-BA82CCE91A96}" destId="{E3D8D002-2521-41E3-84FC-15B6DC8A6497}" srcOrd="0" destOrd="0" presId="urn:microsoft.com/office/officeart/2005/8/layout/orgChart1"/>
    <dgm:cxn modelId="{33CD6899-335A-4BCC-A4EB-13226245B246}" srcId="{8F70326B-3E9C-434A-A20E-E9E6D5C5A3D0}" destId="{400D78D5-7D98-48AF-9792-3B941001B3AC}" srcOrd="2" destOrd="0" parTransId="{0A776A55-4CC7-47B6-8540-D68B94FDE150}" sibTransId="{8F40FEC6-9E05-4337-8253-7FA7DC34F909}"/>
    <dgm:cxn modelId="{08E1EA95-5200-4290-BF75-E9B05127FCF1}" type="presOf" srcId="{FE656A19-E7C7-467E-B5DB-FE6C7310B4CF}" destId="{AA6C1969-C527-41AC-9158-387636416F50}" srcOrd="0" destOrd="0" presId="urn:microsoft.com/office/officeart/2005/8/layout/orgChart1"/>
    <dgm:cxn modelId="{90EFBC50-6FA6-4EAA-952A-C305461218E6}" type="presOf" srcId="{2266B953-034A-4EAE-9A77-C05BB2E779D1}" destId="{5D427647-D9E8-4EB3-A5D1-AD39DF24C801}" srcOrd="1" destOrd="0" presId="urn:microsoft.com/office/officeart/2005/8/layout/orgChart1"/>
    <dgm:cxn modelId="{64051079-FE2F-4DE2-8CF2-7C77E37DDF6C}" type="presParOf" srcId="{FE4CDB05-D907-4E6E-8640-FFCB3C50F5EB}" destId="{D7C5D02B-0716-44FD-BD05-EB8F098AA4D1}" srcOrd="0" destOrd="0" presId="urn:microsoft.com/office/officeart/2005/8/layout/orgChart1"/>
    <dgm:cxn modelId="{98F74A1B-D51E-4D4A-91D7-D8D4577592E2}" type="presParOf" srcId="{D7C5D02B-0716-44FD-BD05-EB8F098AA4D1}" destId="{B57743F4-F46B-4F46-85B9-C83CF0213948}" srcOrd="0" destOrd="0" presId="urn:microsoft.com/office/officeart/2005/8/layout/orgChart1"/>
    <dgm:cxn modelId="{DA18E164-8941-4981-93F9-EA68A82D1C47}" type="presParOf" srcId="{B57743F4-F46B-4F46-85B9-C83CF0213948}" destId="{6439A61B-B2AA-4488-B6F5-D1AE2621013E}" srcOrd="0" destOrd="0" presId="urn:microsoft.com/office/officeart/2005/8/layout/orgChart1"/>
    <dgm:cxn modelId="{B3DC1004-E8D2-4D5B-B881-3CD4C2A7EA3F}" type="presParOf" srcId="{B57743F4-F46B-4F46-85B9-C83CF0213948}" destId="{B50118F9-CBA8-4E75-9E16-20E36928ED0A}" srcOrd="1" destOrd="0" presId="urn:microsoft.com/office/officeart/2005/8/layout/orgChart1"/>
    <dgm:cxn modelId="{15639B10-99B4-4495-A960-DD5B308A2648}" type="presParOf" srcId="{D7C5D02B-0716-44FD-BD05-EB8F098AA4D1}" destId="{9D2C8501-E93D-437E-9C61-79F3CEBFE95E}" srcOrd="1" destOrd="0" presId="urn:microsoft.com/office/officeart/2005/8/layout/orgChart1"/>
    <dgm:cxn modelId="{801FB9F9-9890-458E-96C5-E7EECCE9EF62}" type="presParOf" srcId="{9D2C8501-E93D-437E-9C61-79F3CEBFE95E}" destId="{A945053C-A4D7-403E-BF49-E5585D332CB3}" srcOrd="0" destOrd="0" presId="urn:microsoft.com/office/officeart/2005/8/layout/orgChart1"/>
    <dgm:cxn modelId="{6408CB8B-050A-4ADB-A803-ED730A5B2FA6}" type="presParOf" srcId="{9D2C8501-E93D-437E-9C61-79F3CEBFE95E}" destId="{1D23413D-13C3-4A3A-A1F6-3ED090566454}" srcOrd="1" destOrd="0" presId="urn:microsoft.com/office/officeart/2005/8/layout/orgChart1"/>
    <dgm:cxn modelId="{7FFE5FEE-BB10-43BC-A0FA-9CAB46036786}" type="presParOf" srcId="{1D23413D-13C3-4A3A-A1F6-3ED090566454}" destId="{BCB067AC-7097-413F-8226-684E993A8677}" srcOrd="0" destOrd="0" presId="urn:microsoft.com/office/officeart/2005/8/layout/orgChart1"/>
    <dgm:cxn modelId="{7C82788E-00A8-41C3-8520-86C2C686CAEE}" type="presParOf" srcId="{BCB067AC-7097-413F-8226-684E993A8677}" destId="{FFE2063D-2054-4BCF-9198-9AC289DA359A}" srcOrd="0" destOrd="0" presId="urn:microsoft.com/office/officeart/2005/8/layout/orgChart1"/>
    <dgm:cxn modelId="{1D3F957B-C1BC-4481-9950-917F89D4B1DE}" type="presParOf" srcId="{BCB067AC-7097-413F-8226-684E993A8677}" destId="{4D6D353A-CE4E-4EDE-B168-5ECC4E94D33F}" srcOrd="1" destOrd="0" presId="urn:microsoft.com/office/officeart/2005/8/layout/orgChart1"/>
    <dgm:cxn modelId="{97C05F83-4111-4E1F-B731-DB03AD7F9731}" type="presParOf" srcId="{1D23413D-13C3-4A3A-A1F6-3ED090566454}" destId="{A81625A4-5895-4AF0-B8E8-F3A1EE8A8423}" srcOrd="1" destOrd="0" presId="urn:microsoft.com/office/officeart/2005/8/layout/orgChart1"/>
    <dgm:cxn modelId="{446FC141-0723-4D7C-B644-CB8E074EB741}" type="presParOf" srcId="{1D23413D-13C3-4A3A-A1F6-3ED090566454}" destId="{CECB0D8E-010C-41A4-8129-7B86F85D6A39}" srcOrd="2" destOrd="0" presId="urn:microsoft.com/office/officeart/2005/8/layout/orgChart1"/>
    <dgm:cxn modelId="{8DFE7228-6110-448B-957A-F0C917E548C4}" type="presParOf" srcId="{9D2C8501-E93D-437E-9C61-79F3CEBFE95E}" destId="{1EB425FA-D37C-4816-A8A8-2DCC188537A0}" srcOrd="2" destOrd="0" presId="urn:microsoft.com/office/officeart/2005/8/layout/orgChart1"/>
    <dgm:cxn modelId="{0A1C9EC3-E3F4-42AD-936C-10CE372EB903}" type="presParOf" srcId="{9D2C8501-E93D-437E-9C61-79F3CEBFE95E}" destId="{06B8FCE4-1B11-4B7D-B67D-005AFE6DFAB1}" srcOrd="3" destOrd="0" presId="urn:microsoft.com/office/officeart/2005/8/layout/orgChart1"/>
    <dgm:cxn modelId="{04CC6ADE-3B01-4D27-A322-A346219A22A5}" type="presParOf" srcId="{06B8FCE4-1B11-4B7D-B67D-005AFE6DFAB1}" destId="{31D427FC-8B1B-497F-A0A7-3176B116DE97}" srcOrd="0" destOrd="0" presId="urn:microsoft.com/office/officeart/2005/8/layout/orgChart1"/>
    <dgm:cxn modelId="{7EF32DD4-6104-4431-99B5-FE24CA4E396E}" type="presParOf" srcId="{31D427FC-8B1B-497F-A0A7-3176B116DE97}" destId="{C2D307F3-A033-4FE9-8DD0-F3C17E2C94D4}" srcOrd="0" destOrd="0" presId="urn:microsoft.com/office/officeart/2005/8/layout/orgChart1"/>
    <dgm:cxn modelId="{B53351B0-F439-43FC-B674-2C13B83AB074}" type="presParOf" srcId="{31D427FC-8B1B-497F-A0A7-3176B116DE97}" destId="{5D427647-D9E8-4EB3-A5D1-AD39DF24C801}" srcOrd="1" destOrd="0" presId="urn:microsoft.com/office/officeart/2005/8/layout/orgChart1"/>
    <dgm:cxn modelId="{7BF852E6-B10B-4266-9691-CB44D0E5888D}" type="presParOf" srcId="{06B8FCE4-1B11-4B7D-B67D-005AFE6DFAB1}" destId="{C77CEB41-A429-46AD-9251-C7A5BFDA98C3}" srcOrd="1" destOrd="0" presId="urn:microsoft.com/office/officeart/2005/8/layout/orgChart1"/>
    <dgm:cxn modelId="{3E7AB5F1-1891-43A4-831F-5B497613C954}" type="presParOf" srcId="{06B8FCE4-1B11-4B7D-B67D-005AFE6DFAB1}" destId="{55E23CE0-55D0-42D8-9810-B02707DDEAFC}" srcOrd="2" destOrd="0" presId="urn:microsoft.com/office/officeart/2005/8/layout/orgChart1"/>
    <dgm:cxn modelId="{D559F871-3E6C-4D42-87A3-0EEB555ECF58}" type="presParOf" srcId="{9D2C8501-E93D-437E-9C61-79F3CEBFE95E}" destId="{F13226D7-D182-4FAF-BC04-09CBB3454DDD}" srcOrd="4" destOrd="0" presId="urn:microsoft.com/office/officeart/2005/8/layout/orgChart1"/>
    <dgm:cxn modelId="{229DFE83-9822-4DA9-AE2B-75A72EFA3A78}" type="presParOf" srcId="{9D2C8501-E93D-437E-9C61-79F3CEBFE95E}" destId="{9C79C7B6-F767-4062-B084-C3B3B6E12377}" srcOrd="5" destOrd="0" presId="urn:microsoft.com/office/officeart/2005/8/layout/orgChart1"/>
    <dgm:cxn modelId="{29D41681-5DE9-46C4-99F6-990B49312251}" type="presParOf" srcId="{9C79C7B6-F767-4062-B084-C3B3B6E12377}" destId="{1456EF2C-02F4-4209-B75F-89926D3555CE}" srcOrd="0" destOrd="0" presId="urn:microsoft.com/office/officeart/2005/8/layout/orgChart1"/>
    <dgm:cxn modelId="{CCA6B986-1B04-47A4-B5EA-352B18D32845}" type="presParOf" srcId="{1456EF2C-02F4-4209-B75F-89926D3555CE}" destId="{59A501F5-F0ED-4778-AEF0-C4BC5FBA5BE3}" srcOrd="0" destOrd="0" presId="urn:microsoft.com/office/officeart/2005/8/layout/orgChart1"/>
    <dgm:cxn modelId="{0CD642F2-EE3D-4BD7-A22C-581A3E95D59E}" type="presParOf" srcId="{1456EF2C-02F4-4209-B75F-89926D3555CE}" destId="{4E6F426F-D6E5-49FA-9D27-4489D3B8E03E}" srcOrd="1" destOrd="0" presId="urn:microsoft.com/office/officeart/2005/8/layout/orgChart1"/>
    <dgm:cxn modelId="{AE1DD2CC-5A51-4313-BDDA-3CDCB4728B41}" type="presParOf" srcId="{9C79C7B6-F767-4062-B084-C3B3B6E12377}" destId="{8F39EB8E-23CE-489C-926A-BFC542F881F3}" srcOrd="1" destOrd="0" presId="urn:microsoft.com/office/officeart/2005/8/layout/orgChart1"/>
    <dgm:cxn modelId="{CB241313-333A-401B-9BC4-943C1A0A651F}" type="presParOf" srcId="{9C79C7B6-F767-4062-B084-C3B3B6E12377}" destId="{57CEF1FB-B6E9-4A82-A025-D700A3DC5CDB}" srcOrd="2" destOrd="0" presId="urn:microsoft.com/office/officeart/2005/8/layout/orgChart1"/>
    <dgm:cxn modelId="{5C21602A-E398-44D0-A5EB-1536C2EC7FC8}" type="presParOf" srcId="{9D2C8501-E93D-437E-9C61-79F3CEBFE95E}" destId="{1E719347-E02E-4122-9D47-3B2072475468}" srcOrd="6" destOrd="0" presId="urn:microsoft.com/office/officeart/2005/8/layout/orgChart1"/>
    <dgm:cxn modelId="{9A5C4918-FC35-4577-B170-8BBCC5CB7A67}" type="presParOf" srcId="{9D2C8501-E93D-437E-9C61-79F3CEBFE95E}" destId="{E6B4011D-C476-44DB-84F1-6BD8C18F604E}" srcOrd="7" destOrd="0" presId="urn:microsoft.com/office/officeart/2005/8/layout/orgChart1"/>
    <dgm:cxn modelId="{8D37401D-EB11-4B21-AAE3-C3C18EFC604E}" type="presParOf" srcId="{E6B4011D-C476-44DB-84F1-6BD8C18F604E}" destId="{B65F3BFE-D5D2-422E-A70D-D3F1BE497534}" srcOrd="0" destOrd="0" presId="urn:microsoft.com/office/officeart/2005/8/layout/orgChart1"/>
    <dgm:cxn modelId="{5B5B9538-665F-4248-B727-89BB92079846}" type="presParOf" srcId="{B65F3BFE-D5D2-422E-A70D-D3F1BE497534}" destId="{66720273-4E8D-44FD-A18D-B97D446AEC74}" srcOrd="0" destOrd="0" presId="urn:microsoft.com/office/officeart/2005/8/layout/orgChart1"/>
    <dgm:cxn modelId="{9D278A63-AE27-49D1-BD7A-655101A492F4}" type="presParOf" srcId="{B65F3BFE-D5D2-422E-A70D-D3F1BE497534}" destId="{322D8D26-AE51-4174-BE4A-3F8B4953889B}" srcOrd="1" destOrd="0" presId="urn:microsoft.com/office/officeart/2005/8/layout/orgChart1"/>
    <dgm:cxn modelId="{E7F782AC-BAEE-48A4-99BA-11F858B46554}" type="presParOf" srcId="{E6B4011D-C476-44DB-84F1-6BD8C18F604E}" destId="{BE88FBF7-11AE-47E0-BDA7-10831423FF5D}" srcOrd="1" destOrd="0" presId="urn:microsoft.com/office/officeart/2005/8/layout/orgChart1"/>
    <dgm:cxn modelId="{97C881AC-71C7-4AD5-B161-4B0A32873D4A}" type="presParOf" srcId="{E6B4011D-C476-44DB-84F1-6BD8C18F604E}" destId="{9D4A031C-8524-4ADF-AC7E-A7B486C398A1}" srcOrd="2" destOrd="0" presId="urn:microsoft.com/office/officeart/2005/8/layout/orgChart1"/>
    <dgm:cxn modelId="{3576BFD7-C9FD-4B0F-A6F2-4C1F3F06C38F}" type="presParOf" srcId="{9D2C8501-E93D-437E-9C61-79F3CEBFE95E}" destId="{E3D8D002-2521-41E3-84FC-15B6DC8A6497}" srcOrd="8" destOrd="0" presId="urn:microsoft.com/office/officeart/2005/8/layout/orgChart1"/>
    <dgm:cxn modelId="{39F0A34A-2F29-4178-9CD5-BA622F5199C0}" type="presParOf" srcId="{9D2C8501-E93D-437E-9C61-79F3CEBFE95E}" destId="{1F915800-6FE8-446D-B140-C888817AB331}" srcOrd="9" destOrd="0" presId="urn:microsoft.com/office/officeart/2005/8/layout/orgChart1"/>
    <dgm:cxn modelId="{46019899-F8F8-4BA2-A377-70A4B54A49EE}" type="presParOf" srcId="{1F915800-6FE8-446D-B140-C888817AB331}" destId="{AAAB0542-35AA-43E1-AE92-7A69C2DD7047}" srcOrd="0" destOrd="0" presId="urn:microsoft.com/office/officeart/2005/8/layout/orgChart1"/>
    <dgm:cxn modelId="{CCE859E2-DEF9-4F3D-9E26-31EFBE282A17}" type="presParOf" srcId="{AAAB0542-35AA-43E1-AE92-7A69C2DD7047}" destId="{AA6C1969-C527-41AC-9158-387636416F50}" srcOrd="0" destOrd="0" presId="urn:microsoft.com/office/officeart/2005/8/layout/orgChart1"/>
    <dgm:cxn modelId="{CEAB0259-4082-4779-9CAB-C8B9A2BF3230}" type="presParOf" srcId="{AAAB0542-35AA-43E1-AE92-7A69C2DD7047}" destId="{706E77FB-6826-4695-8FCF-B7FBE7BC5349}" srcOrd="1" destOrd="0" presId="urn:microsoft.com/office/officeart/2005/8/layout/orgChart1"/>
    <dgm:cxn modelId="{E01D7D86-2867-4BB1-94DF-8C6DF45B7C2B}" type="presParOf" srcId="{1F915800-6FE8-446D-B140-C888817AB331}" destId="{57508350-ADEE-4C54-88C7-8FBB90A9F61C}" srcOrd="1" destOrd="0" presId="urn:microsoft.com/office/officeart/2005/8/layout/orgChart1"/>
    <dgm:cxn modelId="{D87E631C-4CC9-4E8E-BD45-30A1B7C47539}" type="presParOf" srcId="{1F915800-6FE8-446D-B140-C888817AB331}" destId="{C8854327-6AD3-4F3E-9712-BD760E002DBF}" srcOrd="2" destOrd="0" presId="urn:microsoft.com/office/officeart/2005/8/layout/orgChart1"/>
    <dgm:cxn modelId="{4E3C927C-E926-4038-979F-210B94A3ED84}" type="presParOf" srcId="{D7C5D02B-0716-44FD-BD05-EB8F098AA4D1}" destId="{15111A3D-EE03-4A9C-863E-3F2CBBA94CC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0FF233-7361-4DEE-AA40-B62395B5687D}"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0DD47405-5FB3-47B5-B37B-B104828B1743}">
      <dgm:prSet phldrT="[Text]" custT="1"/>
      <dgm:spPr/>
      <dgm:t>
        <a:bodyPr/>
        <a:lstStyle/>
        <a:p>
          <a:r>
            <a:rPr lang="zh-CN" altLang="en-US" sz="1600">
              <a:latin typeface="仿宋" panose="02010609060101010101" pitchFamily="49" charset="-122"/>
              <a:ea typeface="仿宋" panose="02010609060101010101" pitchFamily="49" charset="-122"/>
            </a:rPr>
            <a:t>董事会</a:t>
          </a:r>
          <a:endParaRPr lang="en-US" sz="1600">
            <a:latin typeface="仿宋" panose="02010609060101010101" pitchFamily="49" charset="-122"/>
            <a:ea typeface="仿宋" panose="02010609060101010101" pitchFamily="49" charset="-122"/>
          </a:endParaRPr>
        </a:p>
      </dgm:t>
    </dgm:pt>
    <dgm:pt modelId="{14F7C815-832E-4A29-B3E7-FE9432C801B9}" type="parTrans" cxnId="{FAB1D0BB-1653-4DAF-9C3F-EA41B188B935}">
      <dgm:prSet/>
      <dgm:spPr/>
      <dgm:t>
        <a:bodyPr/>
        <a:lstStyle/>
        <a:p>
          <a:endParaRPr lang="en-US" sz="1600">
            <a:latin typeface="仿宋" panose="02010609060101010101" pitchFamily="49" charset="-122"/>
            <a:ea typeface="仿宋" panose="02010609060101010101" pitchFamily="49" charset="-122"/>
          </a:endParaRPr>
        </a:p>
      </dgm:t>
    </dgm:pt>
    <dgm:pt modelId="{89D6B49C-5C37-49A6-A95C-637C94DB877D}" type="sibTrans" cxnId="{FAB1D0BB-1653-4DAF-9C3F-EA41B188B935}">
      <dgm:prSet/>
      <dgm:spPr/>
      <dgm:t>
        <a:bodyPr/>
        <a:lstStyle/>
        <a:p>
          <a:endParaRPr lang="en-US" sz="1600">
            <a:latin typeface="仿宋" panose="02010609060101010101" pitchFamily="49" charset="-122"/>
            <a:ea typeface="仿宋" panose="02010609060101010101" pitchFamily="49" charset="-122"/>
          </a:endParaRPr>
        </a:p>
      </dgm:t>
    </dgm:pt>
    <dgm:pt modelId="{E1EDC6B8-23B5-45BB-82D1-8B2D7C3159B3}">
      <dgm:prSet phldrT="[Text]" custT="1"/>
      <dgm:spPr/>
      <dgm:t>
        <a:bodyPr/>
        <a:lstStyle/>
        <a:p>
          <a:pPr algn="ctr"/>
          <a:r>
            <a:rPr lang="zh-CN" altLang="en-US" sz="1600">
              <a:latin typeface="仿宋" panose="02010609060101010101" pitchFamily="49" charset="-122"/>
              <a:ea typeface="仿宋" panose="02010609060101010101" pitchFamily="49" charset="-122"/>
            </a:rPr>
            <a:t>执行委员会</a:t>
          </a:r>
          <a:endParaRPr lang="en-US" sz="1600">
            <a:latin typeface="仿宋" panose="02010609060101010101" pitchFamily="49" charset="-122"/>
            <a:ea typeface="仿宋" panose="02010609060101010101" pitchFamily="49" charset="-122"/>
          </a:endParaRPr>
        </a:p>
      </dgm:t>
    </dgm:pt>
    <dgm:pt modelId="{F28A5362-608A-4C86-A99A-AEBCE7FDC5D7}" type="parTrans" cxnId="{DD0F350A-4744-4466-8CA4-A44CAE0D15E0}">
      <dgm:prSet/>
      <dgm:spPr/>
      <dgm:t>
        <a:bodyPr/>
        <a:lstStyle/>
        <a:p>
          <a:endParaRPr lang="en-US" sz="1600">
            <a:latin typeface="仿宋" panose="02010609060101010101" pitchFamily="49" charset="-122"/>
            <a:ea typeface="仿宋" panose="02010609060101010101" pitchFamily="49" charset="-122"/>
          </a:endParaRPr>
        </a:p>
      </dgm:t>
    </dgm:pt>
    <dgm:pt modelId="{578146DB-18F3-45DA-8F36-481E4A19B481}" type="sibTrans" cxnId="{DD0F350A-4744-4466-8CA4-A44CAE0D15E0}">
      <dgm:prSet/>
      <dgm:spPr/>
      <dgm:t>
        <a:bodyPr/>
        <a:lstStyle/>
        <a:p>
          <a:endParaRPr lang="en-US" sz="1600">
            <a:latin typeface="仿宋" panose="02010609060101010101" pitchFamily="49" charset="-122"/>
            <a:ea typeface="仿宋" panose="02010609060101010101" pitchFamily="49" charset="-122"/>
          </a:endParaRPr>
        </a:p>
      </dgm:t>
    </dgm:pt>
    <dgm:pt modelId="{0CC6B08C-F7CE-4617-A430-EC5890F31CA0}">
      <dgm:prSet phldrT="[Text]" custT="1"/>
      <dgm:spPr/>
      <dgm:t>
        <a:bodyPr/>
        <a:lstStyle/>
        <a:p>
          <a:r>
            <a:rPr lang="zh-CN" altLang="en-US" sz="1600">
              <a:latin typeface="仿宋" panose="02010609060101010101" pitchFamily="49" charset="-122"/>
              <a:ea typeface="仿宋" panose="02010609060101010101" pitchFamily="49" charset="-122"/>
            </a:rPr>
            <a:t>首席执行官、</a:t>
          </a:r>
          <a:endParaRPr lang="en-US" altLang="zh-CN" sz="1600">
            <a:latin typeface="仿宋" panose="02010609060101010101" pitchFamily="49" charset="-122"/>
            <a:ea typeface="仿宋" panose="02010609060101010101" pitchFamily="49" charset="-122"/>
          </a:endParaRPr>
        </a:p>
        <a:p>
          <a:r>
            <a:rPr lang="zh-CN" altLang="en-US" sz="1600">
              <a:latin typeface="仿宋" panose="02010609060101010101" pitchFamily="49" charset="-122"/>
              <a:ea typeface="仿宋" panose="02010609060101010101" pitchFamily="49" charset="-122"/>
            </a:rPr>
            <a:t>管理团队</a:t>
          </a:r>
          <a:endParaRPr lang="en-US" sz="1600">
            <a:latin typeface="仿宋" panose="02010609060101010101" pitchFamily="49" charset="-122"/>
            <a:ea typeface="仿宋" panose="02010609060101010101" pitchFamily="49" charset="-122"/>
          </a:endParaRPr>
        </a:p>
      </dgm:t>
    </dgm:pt>
    <dgm:pt modelId="{113DC770-8CD8-4139-A997-5F8975C6E68D}" type="parTrans" cxnId="{7B3AB6FF-F821-4969-8923-200A3405DC81}">
      <dgm:prSet/>
      <dgm:spPr/>
      <dgm:t>
        <a:bodyPr/>
        <a:lstStyle/>
        <a:p>
          <a:endParaRPr lang="en-US" sz="1600">
            <a:latin typeface="仿宋" panose="02010609060101010101" pitchFamily="49" charset="-122"/>
            <a:ea typeface="仿宋" panose="02010609060101010101" pitchFamily="49" charset="-122"/>
          </a:endParaRPr>
        </a:p>
      </dgm:t>
    </dgm:pt>
    <dgm:pt modelId="{505113F5-5386-4846-9B8E-D569FE2FB57A}" type="sibTrans" cxnId="{7B3AB6FF-F821-4969-8923-200A3405DC81}">
      <dgm:prSet/>
      <dgm:spPr/>
      <dgm:t>
        <a:bodyPr/>
        <a:lstStyle/>
        <a:p>
          <a:endParaRPr lang="en-US" sz="1600">
            <a:latin typeface="仿宋" panose="02010609060101010101" pitchFamily="49" charset="-122"/>
            <a:ea typeface="仿宋" panose="02010609060101010101" pitchFamily="49" charset="-122"/>
          </a:endParaRPr>
        </a:p>
      </dgm:t>
    </dgm:pt>
    <dgm:pt modelId="{13885506-BD56-496A-925D-6ACFBE29C40B}">
      <dgm:prSet phldrT="[Text]" custT="1"/>
      <dgm:spPr/>
      <dgm:t>
        <a:bodyPr/>
        <a:lstStyle/>
        <a:p>
          <a:pPr algn="ctr"/>
          <a:r>
            <a:rPr lang="zh-CN" altLang="en-US" sz="1600">
              <a:latin typeface="仿宋" panose="02010609060101010101" pitchFamily="49" charset="-122"/>
              <a:ea typeface="仿宋" panose="02010609060101010101" pitchFamily="49" charset="-122"/>
            </a:rPr>
            <a:t>董事委员会</a:t>
          </a:r>
          <a:endParaRPr lang="en-US" sz="1600">
            <a:latin typeface="仿宋" panose="02010609060101010101" pitchFamily="49" charset="-122"/>
            <a:ea typeface="仿宋" panose="02010609060101010101" pitchFamily="49" charset="-122"/>
          </a:endParaRPr>
        </a:p>
      </dgm:t>
    </dgm:pt>
    <dgm:pt modelId="{7A5936E5-D909-4DC3-A940-1C47C6EEFD01}" type="parTrans" cxnId="{74AC442C-FD91-4F43-9AB6-A29034CF8081}">
      <dgm:prSet/>
      <dgm:spPr/>
      <dgm:t>
        <a:bodyPr/>
        <a:lstStyle/>
        <a:p>
          <a:endParaRPr lang="en-US" sz="1600">
            <a:latin typeface="仿宋" panose="02010609060101010101" pitchFamily="49" charset="-122"/>
            <a:ea typeface="仿宋" panose="02010609060101010101" pitchFamily="49" charset="-122"/>
          </a:endParaRPr>
        </a:p>
      </dgm:t>
    </dgm:pt>
    <dgm:pt modelId="{62806CDC-D42D-40FF-83EA-878E4468FDA2}" type="sibTrans" cxnId="{74AC442C-FD91-4F43-9AB6-A29034CF8081}">
      <dgm:prSet/>
      <dgm:spPr/>
      <dgm:t>
        <a:bodyPr/>
        <a:lstStyle/>
        <a:p>
          <a:endParaRPr lang="en-US" sz="1600">
            <a:latin typeface="仿宋" panose="02010609060101010101" pitchFamily="49" charset="-122"/>
            <a:ea typeface="仿宋" panose="02010609060101010101" pitchFamily="49" charset="-122"/>
          </a:endParaRPr>
        </a:p>
      </dgm:t>
    </dgm:pt>
    <dgm:pt modelId="{40915513-4F1E-4555-B670-BE493E5363D7}">
      <dgm:prSet phldrT="[Text]" custT="1"/>
      <dgm:spPr/>
      <dgm:t>
        <a:bodyPr/>
        <a:lstStyle/>
        <a:p>
          <a:pPr algn="l"/>
          <a:r>
            <a:rPr lang="zh-CN" altLang="en-US" sz="1600">
              <a:latin typeface="仿宋" panose="02010609060101010101" pitchFamily="49" charset="-122"/>
              <a:ea typeface="仿宋" panose="02010609060101010101" pitchFamily="49" charset="-122"/>
            </a:rPr>
            <a:t>投资</a:t>
          </a:r>
          <a:endParaRPr lang="en-US" sz="1600">
            <a:latin typeface="仿宋" panose="02010609060101010101" pitchFamily="49" charset="-122"/>
            <a:ea typeface="仿宋" panose="02010609060101010101" pitchFamily="49" charset="-122"/>
          </a:endParaRPr>
        </a:p>
      </dgm:t>
    </dgm:pt>
    <dgm:pt modelId="{ACAF098D-8C83-4704-8226-4070C3AA8CDB}" type="parTrans" cxnId="{014EFE42-EA09-4930-8C83-4761FB9F2E96}">
      <dgm:prSet/>
      <dgm:spPr/>
      <dgm:t>
        <a:bodyPr/>
        <a:lstStyle/>
        <a:p>
          <a:endParaRPr lang="en-US"/>
        </a:p>
      </dgm:t>
    </dgm:pt>
    <dgm:pt modelId="{BE3935E9-99AD-4A22-85E1-79E623B4FAD3}" type="sibTrans" cxnId="{014EFE42-EA09-4930-8C83-4761FB9F2E96}">
      <dgm:prSet/>
      <dgm:spPr/>
      <dgm:t>
        <a:bodyPr/>
        <a:lstStyle/>
        <a:p>
          <a:endParaRPr lang="en-US"/>
        </a:p>
      </dgm:t>
    </dgm:pt>
    <dgm:pt modelId="{54DE4683-2984-4246-AB69-BEE0AED16C0D}">
      <dgm:prSet phldrT="[Text]" custT="1"/>
      <dgm:spPr/>
      <dgm:t>
        <a:bodyPr/>
        <a:lstStyle/>
        <a:p>
          <a:pPr algn="l"/>
          <a:r>
            <a:rPr lang="zh-CN" altLang="en-US" sz="1600">
              <a:latin typeface="仿宋" panose="02010609060101010101" pitchFamily="49" charset="-122"/>
              <a:ea typeface="仿宋" panose="02010609060101010101" pitchFamily="49" charset="-122"/>
            </a:rPr>
            <a:t>投资组合管理</a:t>
          </a:r>
          <a:endParaRPr lang="en-US" sz="1600">
            <a:latin typeface="仿宋" panose="02010609060101010101" pitchFamily="49" charset="-122"/>
            <a:ea typeface="仿宋" panose="02010609060101010101" pitchFamily="49" charset="-122"/>
          </a:endParaRPr>
        </a:p>
      </dgm:t>
    </dgm:pt>
    <dgm:pt modelId="{5A0486EC-B0E0-4B61-A0FE-A31364BF1DCC}" type="parTrans" cxnId="{9D125821-6133-452A-B29D-868F6F6B78BB}">
      <dgm:prSet/>
      <dgm:spPr/>
      <dgm:t>
        <a:bodyPr/>
        <a:lstStyle/>
        <a:p>
          <a:endParaRPr lang="en-US"/>
        </a:p>
      </dgm:t>
    </dgm:pt>
    <dgm:pt modelId="{6128595A-902E-482F-B7C5-198A46085AD4}" type="sibTrans" cxnId="{9D125821-6133-452A-B29D-868F6F6B78BB}">
      <dgm:prSet/>
      <dgm:spPr/>
      <dgm:t>
        <a:bodyPr/>
        <a:lstStyle/>
        <a:p>
          <a:endParaRPr lang="en-US"/>
        </a:p>
      </dgm:t>
    </dgm:pt>
    <dgm:pt modelId="{073CD1B4-570D-4BDC-9247-D3F78BC2622F}">
      <dgm:prSet phldrT="[Text]" custT="1"/>
      <dgm:spPr/>
      <dgm:t>
        <a:bodyPr/>
        <a:lstStyle/>
        <a:p>
          <a:pPr algn="l"/>
          <a:r>
            <a:rPr lang="zh-CN" altLang="en-US" sz="1600">
              <a:latin typeface="仿宋" panose="02010609060101010101" pitchFamily="49" charset="-122"/>
              <a:ea typeface="仿宋" panose="02010609060101010101" pitchFamily="49" charset="-122"/>
            </a:rPr>
            <a:t>风险与合规</a:t>
          </a:r>
          <a:endParaRPr lang="en-US" sz="1600">
            <a:latin typeface="仿宋" panose="02010609060101010101" pitchFamily="49" charset="-122"/>
            <a:ea typeface="仿宋" panose="02010609060101010101" pitchFamily="49" charset="-122"/>
          </a:endParaRPr>
        </a:p>
      </dgm:t>
    </dgm:pt>
    <dgm:pt modelId="{92A322F6-EED3-47F0-9158-BCCDB795C8CB}" type="parTrans" cxnId="{29098920-7DE3-453E-AAA6-2A1B44331E89}">
      <dgm:prSet/>
      <dgm:spPr/>
      <dgm:t>
        <a:bodyPr/>
        <a:lstStyle/>
        <a:p>
          <a:endParaRPr lang="en-US"/>
        </a:p>
      </dgm:t>
    </dgm:pt>
    <dgm:pt modelId="{5A60DC92-EDDA-40C0-B710-CB7429546CA2}" type="sibTrans" cxnId="{29098920-7DE3-453E-AAA6-2A1B44331E89}">
      <dgm:prSet/>
      <dgm:spPr/>
      <dgm:t>
        <a:bodyPr/>
        <a:lstStyle/>
        <a:p>
          <a:endParaRPr lang="en-US"/>
        </a:p>
      </dgm:t>
    </dgm:pt>
    <dgm:pt modelId="{F2A7C097-521E-43ED-A5A9-73AF97D7586E}">
      <dgm:prSet phldrT="[Text]" custT="1"/>
      <dgm:spPr/>
      <dgm:t>
        <a:bodyPr/>
        <a:lstStyle/>
        <a:p>
          <a:pPr algn="l"/>
          <a:r>
            <a:rPr lang="zh-CN" altLang="en-US" sz="1600" spc="-50" baseline="0">
              <a:latin typeface="仿宋" panose="02010609060101010101" pitchFamily="49" charset="-122"/>
              <a:ea typeface="仿宋" panose="02010609060101010101" pitchFamily="49" charset="-122"/>
            </a:rPr>
            <a:t>审计与风险委员会</a:t>
          </a:r>
          <a:endParaRPr lang="en-US" sz="1600" spc="-50" baseline="0">
            <a:latin typeface="仿宋" panose="02010609060101010101" pitchFamily="49" charset="-122"/>
            <a:ea typeface="仿宋" panose="02010609060101010101" pitchFamily="49" charset="-122"/>
          </a:endParaRPr>
        </a:p>
      </dgm:t>
    </dgm:pt>
    <dgm:pt modelId="{9F18F8BE-85E3-4B8A-A22D-E4EBF41CB920}" type="parTrans" cxnId="{21AF7198-A70B-4B88-84B0-E52B8F2B3896}">
      <dgm:prSet/>
      <dgm:spPr/>
      <dgm:t>
        <a:bodyPr/>
        <a:lstStyle/>
        <a:p>
          <a:endParaRPr lang="en-US"/>
        </a:p>
      </dgm:t>
    </dgm:pt>
    <dgm:pt modelId="{1B8F55BD-D9DD-4540-A16A-639A7EAE3A13}" type="sibTrans" cxnId="{21AF7198-A70B-4B88-84B0-E52B8F2B3896}">
      <dgm:prSet/>
      <dgm:spPr/>
      <dgm:t>
        <a:bodyPr/>
        <a:lstStyle/>
        <a:p>
          <a:endParaRPr lang="en-US"/>
        </a:p>
      </dgm:t>
    </dgm:pt>
    <dgm:pt modelId="{76A8116D-1872-4D59-A59C-6B7633875149}">
      <dgm:prSet phldrT="[Text]" custT="1"/>
      <dgm:spPr/>
      <dgm:t>
        <a:bodyPr/>
        <a:lstStyle/>
        <a:p>
          <a:pPr algn="l"/>
          <a:r>
            <a:rPr lang="zh-CN" altLang="en-US" sz="1600" spc="-50" baseline="0">
              <a:latin typeface="仿宋" panose="02010609060101010101" pitchFamily="49" charset="-122"/>
              <a:ea typeface="仿宋" panose="02010609060101010101" pitchFamily="49" charset="-122"/>
            </a:rPr>
            <a:t>董事主席委员会</a:t>
          </a:r>
          <a:endParaRPr lang="en-US" sz="1600" spc="-50" baseline="0">
            <a:latin typeface="仿宋" panose="02010609060101010101" pitchFamily="49" charset="-122"/>
            <a:ea typeface="仿宋" panose="02010609060101010101" pitchFamily="49" charset="-122"/>
          </a:endParaRPr>
        </a:p>
      </dgm:t>
    </dgm:pt>
    <dgm:pt modelId="{A28B55AD-D22D-4D6A-87C4-05831D25A040}" type="parTrans" cxnId="{2651167C-FCAC-4C59-981A-4705F0B5B292}">
      <dgm:prSet/>
      <dgm:spPr/>
      <dgm:t>
        <a:bodyPr/>
        <a:lstStyle/>
        <a:p>
          <a:endParaRPr lang="en-US"/>
        </a:p>
      </dgm:t>
    </dgm:pt>
    <dgm:pt modelId="{7D1DD0CA-598E-478F-9B4D-8F3A54D5D935}" type="sibTrans" cxnId="{2651167C-FCAC-4C59-981A-4705F0B5B292}">
      <dgm:prSet/>
      <dgm:spPr/>
      <dgm:t>
        <a:bodyPr/>
        <a:lstStyle/>
        <a:p>
          <a:endParaRPr lang="en-US"/>
        </a:p>
      </dgm:t>
    </dgm:pt>
    <dgm:pt modelId="{6C74D058-3F4F-47C4-8C78-90AC4D1EEA60}">
      <dgm:prSet phldrT="[Text]" custT="1"/>
      <dgm:spPr/>
      <dgm:t>
        <a:bodyPr/>
        <a:lstStyle/>
        <a:p>
          <a:pPr algn="l"/>
          <a:r>
            <a:rPr lang="zh-CN" altLang="en-US" sz="1600">
              <a:latin typeface="仿宋" panose="02010609060101010101" pitchFamily="49" charset="-122"/>
              <a:ea typeface="仿宋" panose="02010609060101010101" pitchFamily="49" charset="-122"/>
            </a:rPr>
            <a:t>绿色委员会</a:t>
          </a:r>
          <a:endParaRPr lang="en-US" sz="1600">
            <a:latin typeface="仿宋" panose="02010609060101010101" pitchFamily="49" charset="-122"/>
            <a:ea typeface="仿宋" panose="02010609060101010101" pitchFamily="49" charset="-122"/>
          </a:endParaRPr>
        </a:p>
      </dgm:t>
    </dgm:pt>
    <dgm:pt modelId="{B35ADE32-37AF-489A-B622-9E45C21B79AE}" type="parTrans" cxnId="{5ECF9CAE-3895-4C1B-9E6B-B58E3F1D1A85}">
      <dgm:prSet/>
      <dgm:spPr/>
      <dgm:t>
        <a:bodyPr/>
        <a:lstStyle/>
        <a:p>
          <a:endParaRPr lang="en-US"/>
        </a:p>
      </dgm:t>
    </dgm:pt>
    <dgm:pt modelId="{4999BBA7-01AA-4052-9721-10E41A2EDDA0}" type="sibTrans" cxnId="{5ECF9CAE-3895-4C1B-9E6B-B58E3F1D1A85}">
      <dgm:prSet/>
      <dgm:spPr/>
      <dgm:t>
        <a:bodyPr/>
        <a:lstStyle/>
        <a:p>
          <a:endParaRPr lang="en-US"/>
        </a:p>
      </dgm:t>
    </dgm:pt>
    <dgm:pt modelId="{C39EB7A8-165F-47D3-A8E5-EC5BF1695FB9}">
      <dgm:prSet phldrT="[Text]" custT="1"/>
      <dgm:spPr/>
      <dgm:t>
        <a:bodyPr/>
        <a:lstStyle/>
        <a:p>
          <a:pPr algn="l"/>
          <a:r>
            <a:rPr lang="zh-CN" altLang="en-US" sz="1600">
              <a:latin typeface="仿宋" panose="02010609060101010101" pitchFamily="49" charset="-122"/>
              <a:ea typeface="仿宋" panose="02010609060101010101" pitchFamily="49" charset="-122"/>
            </a:rPr>
            <a:t>提名委员会</a:t>
          </a:r>
          <a:endParaRPr lang="en-US" sz="1600">
            <a:latin typeface="仿宋" panose="02010609060101010101" pitchFamily="49" charset="-122"/>
            <a:ea typeface="仿宋" panose="02010609060101010101" pitchFamily="49" charset="-122"/>
          </a:endParaRPr>
        </a:p>
      </dgm:t>
    </dgm:pt>
    <dgm:pt modelId="{202641A6-A788-4196-93D1-580710AFA609}" type="parTrans" cxnId="{71C40526-3ABF-45FC-9EC3-66758648B9A2}">
      <dgm:prSet/>
      <dgm:spPr/>
      <dgm:t>
        <a:bodyPr/>
        <a:lstStyle/>
        <a:p>
          <a:endParaRPr lang="en-US"/>
        </a:p>
      </dgm:t>
    </dgm:pt>
    <dgm:pt modelId="{CAEDB2FA-97C0-48C3-83BB-9B25736616E8}" type="sibTrans" cxnId="{71C40526-3ABF-45FC-9EC3-66758648B9A2}">
      <dgm:prSet/>
      <dgm:spPr/>
      <dgm:t>
        <a:bodyPr/>
        <a:lstStyle/>
        <a:p>
          <a:endParaRPr lang="en-US"/>
        </a:p>
      </dgm:t>
    </dgm:pt>
    <dgm:pt modelId="{CF7CB9E9-F1D6-4470-AFE0-7C523CB59073}">
      <dgm:prSet phldrT="[Text]" custT="1"/>
      <dgm:spPr/>
      <dgm:t>
        <a:bodyPr/>
        <a:lstStyle/>
        <a:p>
          <a:pPr algn="l"/>
          <a:r>
            <a:rPr lang="zh-CN" altLang="en-US" sz="1600">
              <a:latin typeface="仿宋" panose="02010609060101010101" pitchFamily="49" charset="-122"/>
              <a:ea typeface="仿宋" panose="02010609060101010101" pitchFamily="49" charset="-122"/>
            </a:rPr>
            <a:t>薪酬委员会</a:t>
          </a:r>
          <a:endParaRPr lang="en-US" sz="1600">
            <a:latin typeface="仿宋" panose="02010609060101010101" pitchFamily="49" charset="-122"/>
            <a:ea typeface="仿宋" panose="02010609060101010101" pitchFamily="49" charset="-122"/>
          </a:endParaRPr>
        </a:p>
      </dgm:t>
    </dgm:pt>
    <dgm:pt modelId="{6B936EE8-CCA8-4071-B718-078348352921}" type="parTrans" cxnId="{25DA1E4C-0163-4A83-8E03-01E736D01A47}">
      <dgm:prSet/>
      <dgm:spPr/>
      <dgm:t>
        <a:bodyPr/>
        <a:lstStyle/>
        <a:p>
          <a:endParaRPr lang="en-US"/>
        </a:p>
      </dgm:t>
    </dgm:pt>
    <dgm:pt modelId="{25475E0C-22D1-4557-9296-6C2A9FB91521}" type="sibTrans" cxnId="{25DA1E4C-0163-4A83-8E03-01E736D01A47}">
      <dgm:prSet/>
      <dgm:spPr/>
      <dgm:t>
        <a:bodyPr/>
        <a:lstStyle/>
        <a:p>
          <a:endParaRPr lang="en-US"/>
        </a:p>
      </dgm:t>
    </dgm:pt>
    <dgm:pt modelId="{8E260C5A-B594-44CA-90A8-7E6A5CDF8B5C}">
      <dgm:prSet phldrT="[Text]" custT="1"/>
      <dgm:spPr/>
      <dgm:t>
        <a:bodyPr/>
        <a:lstStyle/>
        <a:p>
          <a:pPr algn="l"/>
          <a:r>
            <a:rPr lang="zh-CN" altLang="en-US" sz="1600">
              <a:latin typeface="仿宋" panose="02010609060101010101" pitchFamily="49" charset="-122"/>
              <a:ea typeface="仿宋" panose="02010609060101010101" pitchFamily="49" charset="-122"/>
            </a:rPr>
            <a:t>评估委员会</a:t>
          </a:r>
          <a:endParaRPr lang="en-US" sz="1600">
            <a:latin typeface="仿宋" panose="02010609060101010101" pitchFamily="49" charset="-122"/>
            <a:ea typeface="仿宋" panose="02010609060101010101" pitchFamily="49" charset="-122"/>
          </a:endParaRPr>
        </a:p>
      </dgm:t>
    </dgm:pt>
    <dgm:pt modelId="{5DF137C1-4DA5-4597-801E-4AD86CF84CF9}" type="parTrans" cxnId="{77D7F92F-59C4-4D87-8F67-D602794AE4D2}">
      <dgm:prSet/>
      <dgm:spPr/>
      <dgm:t>
        <a:bodyPr/>
        <a:lstStyle/>
        <a:p>
          <a:endParaRPr lang="en-US"/>
        </a:p>
      </dgm:t>
    </dgm:pt>
    <dgm:pt modelId="{61C637D5-7616-4526-ABAE-67290BD41B4E}" type="sibTrans" cxnId="{77D7F92F-59C4-4D87-8F67-D602794AE4D2}">
      <dgm:prSet/>
      <dgm:spPr/>
      <dgm:t>
        <a:bodyPr/>
        <a:lstStyle/>
        <a:p>
          <a:endParaRPr lang="en-US"/>
        </a:p>
      </dgm:t>
    </dgm:pt>
    <dgm:pt modelId="{46EDE5DF-013E-40CB-AC4E-60EF92C53537}" type="pres">
      <dgm:prSet presAssocID="{E70FF233-7361-4DEE-AA40-B62395B5687D}" presName="cycle" presStyleCnt="0">
        <dgm:presLayoutVars>
          <dgm:chMax val="1"/>
          <dgm:dir/>
          <dgm:animLvl val="ctr"/>
          <dgm:resizeHandles val="exact"/>
        </dgm:presLayoutVars>
      </dgm:prSet>
      <dgm:spPr/>
      <dgm:t>
        <a:bodyPr/>
        <a:lstStyle/>
        <a:p>
          <a:endParaRPr lang="en-US"/>
        </a:p>
      </dgm:t>
    </dgm:pt>
    <dgm:pt modelId="{ABEE7BB5-F82A-4A83-BAB8-8A9C36BE2F64}" type="pres">
      <dgm:prSet presAssocID="{0DD47405-5FB3-47B5-B37B-B104828B1743}" presName="centerShape" presStyleLbl="node0" presStyleIdx="0" presStyleCnt="1" custScaleX="67017" custScaleY="70288" custLinFactNeighborY="-19067"/>
      <dgm:spPr/>
      <dgm:t>
        <a:bodyPr/>
        <a:lstStyle/>
        <a:p>
          <a:endParaRPr lang="en-US"/>
        </a:p>
      </dgm:t>
    </dgm:pt>
    <dgm:pt modelId="{D3F3DF7D-A468-44AB-B3CC-8C339D29F2B6}" type="pres">
      <dgm:prSet presAssocID="{F28A5362-608A-4C86-A99A-AEBCE7FDC5D7}" presName="parTrans" presStyleLbl="bgSibTrans2D1" presStyleIdx="0" presStyleCnt="3" custScaleY="53732"/>
      <dgm:spPr/>
      <dgm:t>
        <a:bodyPr/>
        <a:lstStyle/>
        <a:p>
          <a:endParaRPr lang="en-US"/>
        </a:p>
      </dgm:t>
    </dgm:pt>
    <dgm:pt modelId="{740DFD60-76CC-4D1E-8E4C-BAFB763C9110}" type="pres">
      <dgm:prSet presAssocID="{E1EDC6B8-23B5-45BB-82D1-8B2D7C3159B3}" presName="node" presStyleLbl="node1" presStyleIdx="0" presStyleCnt="3" custScaleX="122476" custScaleY="116957" custRadScaleRad="96219" custRadScaleInc="-18041">
        <dgm:presLayoutVars>
          <dgm:bulletEnabled val="1"/>
        </dgm:presLayoutVars>
      </dgm:prSet>
      <dgm:spPr/>
      <dgm:t>
        <a:bodyPr/>
        <a:lstStyle/>
        <a:p>
          <a:endParaRPr lang="en-US"/>
        </a:p>
      </dgm:t>
    </dgm:pt>
    <dgm:pt modelId="{1A0A3618-B38E-485E-9CE3-2C6679709639}" type="pres">
      <dgm:prSet presAssocID="{113DC770-8CD8-4139-A997-5F8975C6E68D}" presName="parTrans" presStyleLbl="bgSibTrans2D1" presStyleIdx="1" presStyleCnt="3" custScaleY="53967"/>
      <dgm:spPr/>
      <dgm:t>
        <a:bodyPr/>
        <a:lstStyle/>
        <a:p>
          <a:endParaRPr lang="en-US"/>
        </a:p>
      </dgm:t>
    </dgm:pt>
    <dgm:pt modelId="{1A19B84D-39C0-4A28-A457-44081F915D7B}" type="pres">
      <dgm:prSet presAssocID="{0CC6B08C-F7CE-4617-A430-EC5890F31CA0}" presName="node" presStyleLbl="node1" presStyleIdx="1" presStyleCnt="3" custScaleY="67049">
        <dgm:presLayoutVars>
          <dgm:bulletEnabled val="1"/>
        </dgm:presLayoutVars>
      </dgm:prSet>
      <dgm:spPr/>
      <dgm:t>
        <a:bodyPr/>
        <a:lstStyle/>
        <a:p>
          <a:endParaRPr lang="en-US"/>
        </a:p>
      </dgm:t>
    </dgm:pt>
    <dgm:pt modelId="{4367B0FB-D0F2-40D5-8847-3D1F7B743BDA}" type="pres">
      <dgm:prSet presAssocID="{7A5936E5-D909-4DC3-A940-1C47C6EEFD01}" presName="parTrans" presStyleLbl="bgSibTrans2D1" presStyleIdx="2" presStyleCnt="3" custScaleY="53732"/>
      <dgm:spPr/>
      <dgm:t>
        <a:bodyPr/>
        <a:lstStyle/>
        <a:p>
          <a:endParaRPr lang="en-US"/>
        </a:p>
      </dgm:t>
    </dgm:pt>
    <dgm:pt modelId="{D9DE20C0-D4AC-481C-971B-40A95A1097AC}" type="pres">
      <dgm:prSet presAssocID="{13885506-BD56-496A-925D-6ACFBE29C40B}" presName="node" presStyleLbl="node1" presStyleIdx="2" presStyleCnt="3" custScaleX="149909" custScaleY="208101" custRadScaleRad="107385" custRadScaleInc="21988">
        <dgm:presLayoutVars>
          <dgm:bulletEnabled val="1"/>
        </dgm:presLayoutVars>
      </dgm:prSet>
      <dgm:spPr/>
      <dgm:t>
        <a:bodyPr/>
        <a:lstStyle/>
        <a:p>
          <a:endParaRPr lang="en-US"/>
        </a:p>
      </dgm:t>
    </dgm:pt>
  </dgm:ptLst>
  <dgm:cxnLst>
    <dgm:cxn modelId="{DD0F350A-4744-4466-8CA4-A44CAE0D15E0}" srcId="{0DD47405-5FB3-47B5-B37B-B104828B1743}" destId="{E1EDC6B8-23B5-45BB-82D1-8B2D7C3159B3}" srcOrd="0" destOrd="0" parTransId="{F28A5362-608A-4C86-A99A-AEBCE7FDC5D7}" sibTransId="{578146DB-18F3-45DA-8F36-481E4A19B481}"/>
    <dgm:cxn modelId="{3EB32242-DBBB-45BB-A1B9-E0D175C5DC2F}" type="presOf" srcId="{8E260C5A-B594-44CA-90A8-7E6A5CDF8B5C}" destId="{D9DE20C0-D4AC-481C-971B-40A95A1097AC}" srcOrd="0" destOrd="6" presId="urn:microsoft.com/office/officeart/2005/8/layout/radial4"/>
    <dgm:cxn modelId="{DC1B53BD-F735-45F3-8227-4B3C93C2877E}" type="presOf" srcId="{7A5936E5-D909-4DC3-A940-1C47C6EEFD01}" destId="{4367B0FB-D0F2-40D5-8847-3D1F7B743BDA}" srcOrd="0" destOrd="0" presId="urn:microsoft.com/office/officeart/2005/8/layout/radial4"/>
    <dgm:cxn modelId="{B09AE762-566B-4624-9BD1-230379179A50}" type="presOf" srcId="{0CC6B08C-F7CE-4617-A430-EC5890F31CA0}" destId="{1A19B84D-39C0-4A28-A457-44081F915D7B}" srcOrd="0" destOrd="0" presId="urn:microsoft.com/office/officeart/2005/8/layout/radial4"/>
    <dgm:cxn modelId="{9D125821-6133-452A-B29D-868F6F6B78BB}" srcId="{E1EDC6B8-23B5-45BB-82D1-8B2D7C3159B3}" destId="{54DE4683-2984-4246-AB69-BEE0AED16C0D}" srcOrd="1" destOrd="0" parTransId="{5A0486EC-B0E0-4B61-A0FE-A31364BF1DCC}" sibTransId="{6128595A-902E-482F-B7C5-198A46085AD4}"/>
    <dgm:cxn modelId="{2BB1BB66-3962-4267-A9F7-DA5668142FB4}" type="presOf" srcId="{13885506-BD56-496A-925D-6ACFBE29C40B}" destId="{D9DE20C0-D4AC-481C-971B-40A95A1097AC}" srcOrd="0" destOrd="0" presId="urn:microsoft.com/office/officeart/2005/8/layout/radial4"/>
    <dgm:cxn modelId="{8EF68E64-35C2-46FE-931E-BE8B5FA6FD65}" type="presOf" srcId="{F2A7C097-521E-43ED-A5A9-73AF97D7586E}" destId="{D9DE20C0-D4AC-481C-971B-40A95A1097AC}" srcOrd="0" destOrd="1" presId="urn:microsoft.com/office/officeart/2005/8/layout/radial4"/>
    <dgm:cxn modelId="{006ED67E-13D0-4A38-8215-8F099F991639}" type="presOf" srcId="{F28A5362-608A-4C86-A99A-AEBCE7FDC5D7}" destId="{D3F3DF7D-A468-44AB-B3CC-8C339D29F2B6}" srcOrd="0" destOrd="0" presId="urn:microsoft.com/office/officeart/2005/8/layout/radial4"/>
    <dgm:cxn modelId="{153D07A2-C48F-4E88-AF95-6A3EDC7D8831}" type="presOf" srcId="{CF7CB9E9-F1D6-4470-AFE0-7C523CB59073}" destId="{D9DE20C0-D4AC-481C-971B-40A95A1097AC}" srcOrd="0" destOrd="5" presId="urn:microsoft.com/office/officeart/2005/8/layout/radial4"/>
    <dgm:cxn modelId="{31A33C81-3E18-436D-9449-2D2FF1C5C843}" type="presOf" srcId="{40915513-4F1E-4555-B670-BE493E5363D7}" destId="{740DFD60-76CC-4D1E-8E4C-BAFB763C9110}" srcOrd="0" destOrd="1" presId="urn:microsoft.com/office/officeart/2005/8/layout/radial4"/>
    <dgm:cxn modelId="{74AC442C-FD91-4F43-9AB6-A29034CF8081}" srcId="{0DD47405-5FB3-47B5-B37B-B104828B1743}" destId="{13885506-BD56-496A-925D-6ACFBE29C40B}" srcOrd="2" destOrd="0" parTransId="{7A5936E5-D909-4DC3-A940-1C47C6EEFD01}" sibTransId="{62806CDC-D42D-40FF-83EA-878E4468FDA2}"/>
    <dgm:cxn modelId="{2651167C-FCAC-4C59-981A-4705F0B5B292}" srcId="{13885506-BD56-496A-925D-6ACFBE29C40B}" destId="{76A8116D-1872-4D59-A59C-6B7633875149}" srcOrd="1" destOrd="0" parTransId="{A28B55AD-D22D-4D6A-87C4-05831D25A040}" sibTransId="{7D1DD0CA-598E-478F-9B4D-8F3A54D5D935}"/>
    <dgm:cxn modelId="{3378594E-E8E2-41F9-A555-B8CEE5B221FD}" type="presOf" srcId="{C39EB7A8-165F-47D3-A8E5-EC5BF1695FB9}" destId="{D9DE20C0-D4AC-481C-971B-40A95A1097AC}" srcOrd="0" destOrd="4" presId="urn:microsoft.com/office/officeart/2005/8/layout/radial4"/>
    <dgm:cxn modelId="{A21FF3FE-AD2E-4CEA-930A-DB7237BB0D15}" type="presOf" srcId="{6C74D058-3F4F-47C4-8C78-90AC4D1EEA60}" destId="{D9DE20C0-D4AC-481C-971B-40A95A1097AC}" srcOrd="0" destOrd="3" presId="urn:microsoft.com/office/officeart/2005/8/layout/radial4"/>
    <dgm:cxn modelId="{77D7F92F-59C4-4D87-8F67-D602794AE4D2}" srcId="{13885506-BD56-496A-925D-6ACFBE29C40B}" destId="{8E260C5A-B594-44CA-90A8-7E6A5CDF8B5C}" srcOrd="5" destOrd="0" parTransId="{5DF137C1-4DA5-4597-801E-4AD86CF84CF9}" sibTransId="{61C637D5-7616-4526-ABAE-67290BD41B4E}"/>
    <dgm:cxn modelId="{0D46C136-BFCC-471E-8B47-57CE538DB2DC}" type="presOf" srcId="{76A8116D-1872-4D59-A59C-6B7633875149}" destId="{D9DE20C0-D4AC-481C-971B-40A95A1097AC}" srcOrd="0" destOrd="2" presId="urn:microsoft.com/office/officeart/2005/8/layout/radial4"/>
    <dgm:cxn modelId="{21AF7198-A70B-4B88-84B0-E52B8F2B3896}" srcId="{13885506-BD56-496A-925D-6ACFBE29C40B}" destId="{F2A7C097-521E-43ED-A5A9-73AF97D7586E}" srcOrd="0" destOrd="0" parTransId="{9F18F8BE-85E3-4B8A-A22D-E4EBF41CB920}" sibTransId="{1B8F55BD-D9DD-4540-A16A-639A7EAE3A13}"/>
    <dgm:cxn modelId="{E9AB1FE8-5044-46ED-B6E8-1FC4DF157CF5}" type="presOf" srcId="{073CD1B4-570D-4BDC-9247-D3F78BC2622F}" destId="{740DFD60-76CC-4D1E-8E4C-BAFB763C9110}" srcOrd="0" destOrd="3" presId="urn:microsoft.com/office/officeart/2005/8/layout/radial4"/>
    <dgm:cxn modelId="{5ECF9CAE-3895-4C1B-9E6B-B58E3F1D1A85}" srcId="{13885506-BD56-496A-925D-6ACFBE29C40B}" destId="{6C74D058-3F4F-47C4-8C78-90AC4D1EEA60}" srcOrd="2" destOrd="0" parTransId="{B35ADE32-37AF-489A-B622-9E45C21B79AE}" sibTransId="{4999BBA7-01AA-4052-9721-10E41A2EDDA0}"/>
    <dgm:cxn modelId="{29098920-7DE3-453E-AAA6-2A1B44331E89}" srcId="{E1EDC6B8-23B5-45BB-82D1-8B2D7C3159B3}" destId="{073CD1B4-570D-4BDC-9247-D3F78BC2622F}" srcOrd="2" destOrd="0" parTransId="{92A322F6-EED3-47F0-9158-BCCDB795C8CB}" sibTransId="{5A60DC92-EDDA-40C0-B710-CB7429546CA2}"/>
    <dgm:cxn modelId="{FAB1D0BB-1653-4DAF-9C3F-EA41B188B935}" srcId="{E70FF233-7361-4DEE-AA40-B62395B5687D}" destId="{0DD47405-5FB3-47B5-B37B-B104828B1743}" srcOrd="0" destOrd="0" parTransId="{14F7C815-832E-4A29-B3E7-FE9432C801B9}" sibTransId="{89D6B49C-5C37-49A6-A95C-637C94DB877D}"/>
    <dgm:cxn modelId="{1D6E27A0-03BF-4432-9FB7-ACDF5D02C35B}" type="presOf" srcId="{E1EDC6B8-23B5-45BB-82D1-8B2D7C3159B3}" destId="{740DFD60-76CC-4D1E-8E4C-BAFB763C9110}" srcOrd="0" destOrd="0" presId="urn:microsoft.com/office/officeart/2005/8/layout/radial4"/>
    <dgm:cxn modelId="{25DA1E4C-0163-4A83-8E03-01E736D01A47}" srcId="{13885506-BD56-496A-925D-6ACFBE29C40B}" destId="{CF7CB9E9-F1D6-4470-AFE0-7C523CB59073}" srcOrd="4" destOrd="0" parTransId="{6B936EE8-CCA8-4071-B718-078348352921}" sibTransId="{25475E0C-22D1-4557-9296-6C2A9FB91521}"/>
    <dgm:cxn modelId="{014EFE42-EA09-4930-8C83-4761FB9F2E96}" srcId="{E1EDC6B8-23B5-45BB-82D1-8B2D7C3159B3}" destId="{40915513-4F1E-4555-B670-BE493E5363D7}" srcOrd="0" destOrd="0" parTransId="{ACAF098D-8C83-4704-8226-4070C3AA8CDB}" sibTransId="{BE3935E9-99AD-4A22-85E1-79E623B4FAD3}"/>
    <dgm:cxn modelId="{138AFB08-F04B-4C6B-8EA0-14A4E0E3886B}" type="presOf" srcId="{E70FF233-7361-4DEE-AA40-B62395B5687D}" destId="{46EDE5DF-013E-40CB-AC4E-60EF92C53537}" srcOrd="0" destOrd="0" presId="urn:microsoft.com/office/officeart/2005/8/layout/radial4"/>
    <dgm:cxn modelId="{71C40526-3ABF-45FC-9EC3-66758648B9A2}" srcId="{13885506-BD56-496A-925D-6ACFBE29C40B}" destId="{C39EB7A8-165F-47D3-A8E5-EC5BF1695FB9}" srcOrd="3" destOrd="0" parTransId="{202641A6-A788-4196-93D1-580710AFA609}" sibTransId="{CAEDB2FA-97C0-48C3-83BB-9B25736616E8}"/>
    <dgm:cxn modelId="{3E66FDC9-333B-43A1-9F38-3827712AB4BB}" type="presOf" srcId="{113DC770-8CD8-4139-A997-5F8975C6E68D}" destId="{1A0A3618-B38E-485E-9CE3-2C6679709639}" srcOrd="0" destOrd="0" presId="urn:microsoft.com/office/officeart/2005/8/layout/radial4"/>
    <dgm:cxn modelId="{5042AC47-684C-4986-B5E1-CD83186A9B91}" type="presOf" srcId="{54DE4683-2984-4246-AB69-BEE0AED16C0D}" destId="{740DFD60-76CC-4D1E-8E4C-BAFB763C9110}" srcOrd="0" destOrd="2" presId="urn:microsoft.com/office/officeart/2005/8/layout/radial4"/>
    <dgm:cxn modelId="{7B3AB6FF-F821-4969-8923-200A3405DC81}" srcId="{0DD47405-5FB3-47B5-B37B-B104828B1743}" destId="{0CC6B08C-F7CE-4617-A430-EC5890F31CA0}" srcOrd="1" destOrd="0" parTransId="{113DC770-8CD8-4139-A997-5F8975C6E68D}" sibTransId="{505113F5-5386-4846-9B8E-D569FE2FB57A}"/>
    <dgm:cxn modelId="{0883AE66-8286-43E9-A3E0-FA01CFD8C968}" type="presOf" srcId="{0DD47405-5FB3-47B5-B37B-B104828B1743}" destId="{ABEE7BB5-F82A-4A83-BAB8-8A9C36BE2F64}" srcOrd="0" destOrd="0" presId="urn:microsoft.com/office/officeart/2005/8/layout/radial4"/>
    <dgm:cxn modelId="{BCD389DA-EC22-4E12-8F9F-799758B36ACC}" type="presParOf" srcId="{46EDE5DF-013E-40CB-AC4E-60EF92C53537}" destId="{ABEE7BB5-F82A-4A83-BAB8-8A9C36BE2F64}" srcOrd="0" destOrd="0" presId="urn:microsoft.com/office/officeart/2005/8/layout/radial4"/>
    <dgm:cxn modelId="{B3671632-3F00-40E4-A652-6BF0D9F1284C}" type="presParOf" srcId="{46EDE5DF-013E-40CB-AC4E-60EF92C53537}" destId="{D3F3DF7D-A468-44AB-B3CC-8C339D29F2B6}" srcOrd="1" destOrd="0" presId="urn:microsoft.com/office/officeart/2005/8/layout/radial4"/>
    <dgm:cxn modelId="{AEDE5BD6-6206-49AD-9600-EBA9AB905A7A}" type="presParOf" srcId="{46EDE5DF-013E-40CB-AC4E-60EF92C53537}" destId="{740DFD60-76CC-4D1E-8E4C-BAFB763C9110}" srcOrd="2" destOrd="0" presId="urn:microsoft.com/office/officeart/2005/8/layout/radial4"/>
    <dgm:cxn modelId="{46400239-F2F6-4E37-8B9A-558239931E5E}" type="presParOf" srcId="{46EDE5DF-013E-40CB-AC4E-60EF92C53537}" destId="{1A0A3618-B38E-485E-9CE3-2C6679709639}" srcOrd="3" destOrd="0" presId="urn:microsoft.com/office/officeart/2005/8/layout/radial4"/>
    <dgm:cxn modelId="{E15BFF10-605F-434C-A28E-E088CF59E951}" type="presParOf" srcId="{46EDE5DF-013E-40CB-AC4E-60EF92C53537}" destId="{1A19B84D-39C0-4A28-A457-44081F915D7B}" srcOrd="4" destOrd="0" presId="urn:microsoft.com/office/officeart/2005/8/layout/radial4"/>
    <dgm:cxn modelId="{6C0A5F4F-8158-48C0-8A26-831F62251F7B}" type="presParOf" srcId="{46EDE5DF-013E-40CB-AC4E-60EF92C53537}" destId="{4367B0FB-D0F2-40D5-8847-3D1F7B743BDA}" srcOrd="5" destOrd="0" presId="urn:microsoft.com/office/officeart/2005/8/layout/radial4"/>
    <dgm:cxn modelId="{CF26EC2C-4473-4F93-805B-04FB3C33BCD0}" type="presParOf" srcId="{46EDE5DF-013E-40CB-AC4E-60EF92C53537}" destId="{D9DE20C0-D4AC-481C-971B-40A95A1097AC}" srcOrd="6"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8D002-2521-41E3-84FC-15B6DC8A6497}">
      <dsp:nvSpPr>
        <dsp:cNvPr id="0" name=""/>
        <dsp:cNvSpPr/>
      </dsp:nvSpPr>
      <dsp:spPr>
        <a:xfrm>
          <a:off x="2817557" y="884301"/>
          <a:ext cx="2554833" cy="181390"/>
        </a:xfrm>
        <a:custGeom>
          <a:avLst/>
          <a:gdLst/>
          <a:ahLst/>
          <a:cxnLst/>
          <a:rect l="0" t="0" r="0" b="0"/>
          <a:pathLst>
            <a:path>
              <a:moveTo>
                <a:pt x="0" y="0"/>
              </a:moveTo>
              <a:lnTo>
                <a:pt x="0" y="80063"/>
              </a:lnTo>
              <a:lnTo>
                <a:pt x="2554833" y="80063"/>
              </a:lnTo>
              <a:lnTo>
                <a:pt x="2554833" y="1813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719347-E02E-4122-9D47-3B2072475468}">
      <dsp:nvSpPr>
        <dsp:cNvPr id="0" name=""/>
        <dsp:cNvSpPr/>
      </dsp:nvSpPr>
      <dsp:spPr>
        <a:xfrm>
          <a:off x="2817557" y="884301"/>
          <a:ext cx="1242022" cy="181390"/>
        </a:xfrm>
        <a:custGeom>
          <a:avLst/>
          <a:gdLst/>
          <a:ahLst/>
          <a:cxnLst/>
          <a:rect l="0" t="0" r="0" b="0"/>
          <a:pathLst>
            <a:path>
              <a:moveTo>
                <a:pt x="0" y="0"/>
              </a:moveTo>
              <a:lnTo>
                <a:pt x="0" y="80063"/>
              </a:lnTo>
              <a:lnTo>
                <a:pt x="1242022" y="80063"/>
              </a:lnTo>
              <a:lnTo>
                <a:pt x="1242022" y="1813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226D7-D182-4FAF-BC04-09CBB3454DDD}">
      <dsp:nvSpPr>
        <dsp:cNvPr id="0" name=""/>
        <dsp:cNvSpPr/>
      </dsp:nvSpPr>
      <dsp:spPr>
        <a:xfrm>
          <a:off x="2771837" y="884301"/>
          <a:ext cx="91440" cy="181390"/>
        </a:xfrm>
        <a:custGeom>
          <a:avLst/>
          <a:gdLst/>
          <a:ahLst/>
          <a:cxnLst/>
          <a:rect l="0" t="0" r="0" b="0"/>
          <a:pathLst>
            <a:path>
              <a:moveTo>
                <a:pt x="45720" y="0"/>
              </a:moveTo>
              <a:lnTo>
                <a:pt x="45720" y="80063"/>
              </a:lnTo>
              <a:lnTo>
                <a:pt x="49430" y="80063"/>
              </a:lnTo>
              <a:lnTo>
                <a:pt x="49430" y="1813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B425FA-D37C-4816-A8A8-2DCC188537A0}">
      <dsp:nvSpPr>
        <dsp:cNvPr id="0" name=""/>
        <dsp:cNvSpPr/>
      </dsp:nvSpPr>
      <dsp:spPr>
        <a:xfrm>
          <a:off x="1653590" y="884301"/>
          <a:ext cx="1163966" cy="181390"/>
        </a:xfrm>
        <a:custGeom>
          <a:avLst/>
          <a:gdLst/>
          <a:ahLst/>
          <a:cxnLst/>
          <a:rect l="0" t="0" r="0" b="0"/>
          <a:pathLst>
            <a:path>
              <a:moveTo>
                <a:pt x="1163966" y="0"/>
              </a:moveTo>
              <a:lnTo>
                <a:pt x="1163966" y="80063"/>
              </a:lnTo>
              <a:lnTo>
                <a:pt x="0" y="80063"/>
              </a:lnTo>
              <a:lnTo>
                <a:pt x="0" y="1813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45053C-A4D7-403E-BF49-E5585D332CB3}">
      <dsp:nvSpPr>
        <dsp:cNvPr id="0" name=""/>
        <dsp:cNvSpPr/>
      </dsp:nvSpPr>
      <dsp:spPr>
        <a:xfrm>
          <a:off x="485914" y="884301"/>
          <a:ext cx="2331643" cy="181390"/>
        </a:xfrm>
        <a:custGeom>
          <a:avLst/>
          <a:gdLst/>
          <a:ahLst/>
          <a:cxnLst/>
          <a:rect l="0" t="0" r="0" b="0"/>
          <a:pathLst>
            <a:path>
              <a:moveTo>
                <a:pt x="2331643" y="0"/>
              </a:moveTo>
              <a:lnTo>
                <a:pt x="2331643" y="80063"/>
              </a:lnTo>
              <a:lnTo>
                <a:pt x="0" y="80063"/>
              </a:lnTo>
              <a:lnTo>
                <a:pt x="0" y="1813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9A61B-B2AA-4488-B6F5-D1AE2621013E}">
      <dsp:nvSpPr>
        <dsp:cNvPr id="0" name=""/>
        <dsp:cNvSpPr/>
      </dsp:nvSpPr>
      <dsp:spPr>
        <a:xfrm>
          <a:off x="1768867" y="248520"/>
          <a:ext cx="2097379" cy="63578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英国绿色投资银行</a:t>
          </a:r>
          <a:endParaRPr lang="en-US" altLang="zh-CN" sz="1600" kern="1200">
            <a:latin typeface="仿宋" panose="02010609060101010101" pitchFamily="49" charset="-122"/>
            <a:ea typeface="仿宋" panose="02010609060101010101" pitchFamily="49" charset="-122"/>
          </a:endParaRPr>
        </a:p>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公司治理架构</a:t>
          </a:r>
          <a:endParaRPr lang="en-US" sz="1600" kern="1200">
            <a:latin typeface="仿宋" panose="02010609060101010101" pitchFamily="49" charset="-122"/>
            <a:ea typeface="仿宋" panose="02010609060101010101" pitchFamily="49" charset="-122"/>
          </a:endParaRPr>
        </a:p>
      </dsp:txBody>
      <dsp:txXfrm>
        <a:off x="1768867" y="248520"/>
        <a:ext cx="2097379" cy="635780"/>
      </dsp:txXfrm>
    </dsp:sp>
    <dsp:sp modelId="{FFE2063D-2054-4BCF-9198-9AC289DA359A}">
      <dsp:nvSpPr>
        <dsp:cNvPr id="0" name=""/>
        <dsp:cNvSpPr/>
      </dsp:nvSpPr>
      <dsp:spPr>
        <a:xfrm>
          <a:off x="3402" y="1065692"/>
          <a:ext cx="965022" cy="4825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股东</a:t>
          </a:r>
          <a:endParaRPr lang="en-US" altLang="zh-CN" sz="1600" kern="1200">
            <a:latin typeface="仿宋" panose="02010609060101010101" pitchFamily="49" charset="-122"/>
            <a:ea typeface="仿宋" panose="02010609060101010101" pitchFamily="49" charset="-122"/>
          </a:endParaRPr>
        </a:p>
      </dsp:txBody>
      <dsp:txXfrm>
        <a:off x="3402" y="1065692"/>
        <a:ext cx="965022" cy="482511"/>
      </dsp:txXfrm>
    </dsp:sp>
    <dsp:sp modelId="{C2D307F3-A033-4FE9-8DD0-F3C17E2C94D4}">
      <dsp:nvSpPr>
        <dsp:cNvPr id="0" name=""/>
        <dsp:cNvSpPr/>
      </dsp:nvSpPr>
      <dsp:spPr>
        <a:xfrm>
          <a:off x="1171079" y="1065692"/>
          <a:ext cx="965022" cy="4825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政策小组</a:t>
          </a:r>
          <a:endParaRPr lang="en-US" sz="1600" kern="1200">
            <a:latin typeface="仿宋" panose="02010609060101010101" pitchFamily="49" charset="-122"/>
            <a:ea typeface="仿宋" panose="02010609060101010101" pitchFamily="49" charset="-122"/>
          </a:endParaRPr>
        </a:p>
      </dsp:txBody>
      <dsp:txXfrm>
        <a:off x="1171079" y="1065692"/>
        <a:ext cx="965022" cy="482511"/>
      </dsp:txXfrm>
    </dsp:sp>
    <dsp:sp modelId="{59A501F5-F0ED-4778-AEF0-C4BC5FBA5BE3}">
      <dsp:nvSpPr>
        <dsp:cNvPr id="0" name=""/>
        <dsp:cNvSpPr/>
      </dsp:nvSpPr>
      <dsp:spPr>
        <a:xfrm>
          <a:off x="2338756" y="1065692"/>
          <a:ext cx="965022" cy="4825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董事会</a:t>
          </a:r>
          <a:endParaRPr lang="en-US" sz="1600" kern="1200">
            <a:latin typeface="仿宋" panose="02010609060101010101" pitchFamily="49" charset="-122"/>
            <a:ea typeface="仿宋" panose="02010609060101010101" pitchFamily="49" charset="-122"/>
          </a:endParaRPr>
        </a:p>
      </dsp:txBody>
      <dsp:txXfrm>
        <a:off x="2338756" y="1065692"/>
        <a:ext cx="965022" cy="482511"/>
      </dsp:txXfrm>
    </dsp:sp>
    <dsp:sp modelId="{66720273-4E8D-44FD-A18D-B97D446AEC74}">
      <dsp:nvSpPr>
        <dsp:cNvPr id="0" name=""/>
        <dsp:cNvSpPr/>
      </dsp:nvSpPr>
      <dsp:spPr>
        <a:xfrm>
          <a:off x="3506433" y="1065692"/>
          <a:ext cx="1106291" cy="4825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董事委员会</a:t>
          </a:r>
          <a:endParaRPr lang="en-US" sz="1600" kern="1200">
            <a:latin typeface="仿宋" panose="02010609060101010101" pitchFamily="49" charset="-122"/>
            <a:ea typeface="仿宋" panose="02010609060101010101" pitchFamily="49" charset="-122"/>
          </a:endParaRPr>
        </a:p>
      </dsp:txBody>
      <dsp:txXfrm>
        <a:off x="3506433" y="1065692"/>
        <a:ext cx="1106291" cy="482511"/>
      </dsp:txXfrm>
    </dsp:sp>
    <dsp:sp modelId="{AA6C1969-C527-41AC-9158-387636416F50}">
      <dsp:nvSpPr>
        <dsp:cNvPr id="0" name=""/>
        <dsp:cNvSpPr/>
      </dsp:nvSpPr>
      <dsp:spPr>
        <a:xfrm>
          <a:off x="4815380" y="1065692"/>
          <a:ext cx="1114021" cy="4825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高级管理层</a:t>
          </a:r>
          <a:endParaRPr lang="en-US" sz="1600" kern="1200">
            <a:latin typeface="仿宋" panose="02010609060101010101" pitchFamily="49" charset="-122"/>
            <a:ea typeface="仿宋" panose="02010609060101010101" pitchFamily="49" charset="-122"/>
          </a:endParaRPr>
        </a:p>
      </dsp:txBody>
      <dsp:txXfrm>
        <a:off x="4815380" y="1065692"/>
        <a:ext cx="1114021" cy="482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EE7BB5-F82A-4A83-BAB8-8A9C36BE2F64}">
      <dsp:nvSpPr>
        <dsp:cNvPr id="0" name=""/>
        <dsp:cNvSpPr/>
      </dsp:nvSpPr>
      <dsp:spPr>
        <a:xfrm>
          <a:off x="2304496" y="1148273"/>
          <a:ext cx="903635" cy="94774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董事会</a:t>
          </a:r>
          <a:endParaRPr lang="en-US" sz="1600" kern="1200">
            <a:latin typeface="仿宋" panose="02010609060101010101" pitchFamily="49" charset="-122"/>
            <a:ea typeface="仿宋" panose="02010609060101010101" pitchFamily="49" charset="-122"/>
          </a:endParaRPr>
        </a:p>
      </dsp:txBody>
      <dsp:txXfrm>
        <a:off x="2436830" y="1287066"/>
        <a:ext cx="638967" cy="670154"/>
      </dsp:txXfrm>
    </dsp:sp>
    <dsp:sp modelId="{D3F3DF7D-A468-44AB-B3CC-8C339D29F2B6}">
      <dsp:nvSpPr>
        <dsp:cNvPr id="0" name=""/>
        <dsp:cNvSpPr/>
      </dsp:nvSpPr>
      <dsp:spPr>
        <a:xfrm rot="10849761">
          <a:off x="1205263" y="1503968"/>
          <a:ext cx="1038873" cy="20648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0DFD60-76CC-4D1E-8E4C-BAFB763C9110}">
      <dsp:nvSpPr>
        <dsp:cNvPr id="0" name=""/>
        <dsp:cNvSpPr/>
      </dsp:nvSpPr>
      <dsp:spPr>
        <a:xfrm>
          <a:off x="420889" y="1000428"/>
          <a:ext cx="1568855" cy="11985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执行委员会</a:t>
          </a:r>
          <a:endParaRPr lang="en-US" sz="1600" kern="1200">
            <a:latin typeface="仿宋" panose="02010609060101010101" pitchFamily="49" charset="-122"/>
            <a:ea typeface="仿宋" panose="02010609060101010101" pitchFamily="49" charset="-122"/>
          </a:endParaRPr>
        </a:p>
        <a:p>
          <a:pPr marL="171450" lvl="1" indent="-171450" algn="l" defTabSz="711200">
            <a:lnSpc>
              <a:spcPct val="90000"/>
            </a:lnSpc>
            <a:spcBef>
              <a:spcPct val="0"/>
            </a:spcBef>
            <a:spcAft>
              <a:spcPct val="15000"/>
            </a:spcAft>
            <a:buChar char="••"/>
          </a:pPr>
          <a:r>
            <a:rPr lang="zh-CN" altLang="en-US" sz="1600" kern="1200">
              <a:latin typeface="仿宋" panose="02010609060101010101" pitchFamily="49" charset="-122"/>
              <a:ea typeface="仿宋" panose="02010609060101010101" pitchFamily="49" charset="-122"/>
            </a:rPr>
            <a:t>投资</a:t>
          </a:r>
          <a:endParaRPr lang="en-US" sz="1600" kern="1200">
            <a:latin typeface="仿宋" panose="02010609060101010101" pitchFamily="49" charset="-122"/>
            <a:ea typeface="仿宋" panose="02010609060101010101" pitchFamily="49" charset="-122"/>
          </a:endParaRPr>
        </a:p>
        <a:p>
          <a:pPr marL="171450" lvl="1" indent="-171450" algn="l" defTabSz="711200">
            <a:lnSpc>
              <a:spcPct val="90000"/>
            </a:lnSpc>
            <a:spcBef>
              <a:spcPct val="0"/>
            </a:spcBef>
            <a:spcAft>
              <a:spcPct val="15000"/>
            </a:spcAft>
            <a:buChar char="••"/>
          </a:pPr>
          <a:r>
            <a:rPr lang="zh-CN" altLang="en-US" sz="1600" kern="1200">
              <a:latin typeface="仿宋" panose="02010609060101010101" pitchFamily="49" charset="-122"/>
              <a:ea typeface="仿宋" panose="02010609060101010101" pitchFamily="49" charset="-122"/>
            </a:rPr>
            <a:t>投资组合管理</a:t>
          </a:r>
          <a:endParaRPr lang="en-US" sz="1600" kern="1200">
            <a:latin typeface="仿宋" panose="02010609060101010101" pitchFamily="49" charset="-122"/>
            <a:ea typeface="仿宋" panose="02010609060101010101" pitchFamily="49" charset="-122"/>
          </a:endParaRPr>
        </a:p>
        <a:p>
          <a:pPr marL="171450" lvl="1" indent="-171450" algn="l" defTabSz="711200">
            <a:lnSpc>
              <a:spcPct val="90000"/>
            </a:lnSpc>
            <a:spcBef>
              <a:spcPct val="0"/>
            </a:spcBef>
            <a:spcAft>
              <a:spcPct val="15000"/>
            </a:spcAft>
            <a:buChar char="••"/>
          </a:pPr>
          <a:r>
            <a:rPr lang="zh-CN" altLang="en-US" sz="1600" kern="1200">
              <a:latin typeface="仿宋" panose="02010609060101010101" pitchFamily="49" charset="-122"/>
              <a:ea typeface="仿宋" panose="02010609060101010101" pitchFamily="49" charset="-122"/>
            </a:rPr>
            <a:t>风险与合规</a:t>
          </a:r>
          <a:endParaRPr lang="en-US" sz="1600" kern="1200">
            <a:latin typeface="仿宋" panose="02010609060101010101" pitchFamily="49" charset="-122"/>
            <a:ea typeface="仿宋" panose="02010609060101010101" pitchFamily="49" charset="-122"/>
          </a:endParaRPr>
        </a:p>
      </dsp:txBody>
      <dsp:txXfrm>
        <a:off x="455993" y="1035532"/>
        <a:ext cx="1498647" cy="1128319"/>
      </dsp:txXfrm>
    </dsp:sp>
    <dsp:sp modelId="{1A0A3618-B38E-485E-9CE3-2C6679709639}">
      <dsp:nvSpPr>
        <dsp:cNvPr id="0" name=""/>
        <dsp:cNvSpPr/>
      </dsp:nvSpPr>
      <dsp:spPr>
        <a:xfrm rot="16200000">
          <a:off x="2463720" y="717928"/>
          <a:ext cx="585187" cy="20738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19B84D-39C0-4A28-A457-44081F915D7B}">
      <dsp:nvSpPr>
        <dsp:cNvPr id="0" name=""/>
        <dsp:cNvSpPr/>
      </dsp:nvSpPr>
      <dsp:spPr>
        <a:xfrm>
          <a:off x="2115839" y="185482"/>
          <a:ext cx="1280949" cy="68709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首席执行官、</a:t>
          </a:r>
          <a:endParaRPr lang="en-US" altLang="zh-CN" sz="1600" kern="1200">
            <a:latin typeface="仿宋" panose="02010609060101010101" pitchFamily="49" charset="-122"/>
            <a:ea typeface="仿宋" panose="02010609060101010101" pitchFamily="49" charset="-122"/>
          </a:endParaRPr>
        </a:p>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管理团队</a:t>
          </a:r>
          <a:endParaRPr lang="en-US" sz="1600" kern="1200">
            <a:latin typeface="仿宋" panose="02010609060101010101" pitchFamily="49" charset="-122"/>
            <a:ea typeface="仿宋" panose="02010609060101010101" pitchFamily="49" charset="-122"/>
          </a:endParaRPr>
        </a:p>
      </dsp:txBody>
      <dsp:txXfrm>
        <a:off x="2135963" y="205606"/>
        <a:ext cx="1240701" cy="646842"/>
      </dsp:txXfrm>
    </dsp:sp>
    <dsp:sp modelId="{4367B0FB-D0F2-40D5-8847-3D1F7B743BDA}">
      <dsp:nvSpPr>
        <dsp:cNvPr id="0" name=""/>
        <dsp:cNvSpPr/>
      </dsp:nvSpPr>
      <dsp:spPr>
        <a:xfrm rot="21539394">
          <a:off x="3280014" y="1498754"/>
          <a:ext cx="1238012" cy="20648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DE20C0-D4AC-481C-971B-40A95A1097AC}">
      <dsp:nvSpPr>
        <dsp:cNvPr id="0" name=""/>
        <dsp:cNvSpPr/>
      </dsp:nvSpPr>
      <dsp:spPr>
        <a:xfrm>
          <a:off x="3557801" y="524816"/>
          <a:ext cx="1920258" cy="21325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ctr" defTabSz="711200">
            <a:lnSpc>
              <a:spcPct val="90000"/>
            </a:lnSpc>
            <a:spcBef>
              <a:spcPct val="0"/>
            </a:spcBef>
            <a:spcAft>
              <a:spcPct val="35000"/>
            </a:spcAft>
          </a:pPr>
          <a:r>
            <a:rPr lang="zh-CN" altLang="en-US" sz="1600" kern="1200">
              <a:latin typeface="仿宋" panose="02010609060101010101" pitchFamily="49" charset="-122"/>
              <a:ea typeface="仿宋" panose="02010609060101010101" pitchFamily="49" charset="-122"/>
            </a:rPr>
            <a:t>董事委员会</a:t>
          </a:r>
          <a:endParaRPr lang="en-US" sz="1600" kern="1200">
            <a:latin typeface="仿宋" panose="02010609060101010101" pitchFamily="49" charset="-122"/>
            <a:ea typeface="仿宋" panose="02010609060101010101" pitchFamily="49" charset="-122"/>
          </a:endParaRPr>
        </a:p>
        <a:p>
          <a:pPr marL="171450" lvl="1" indent="-171450" algn="l" defTabSz="711200">
            <a:lnSpc>
              <a:spcPct val="90000"/>
            </a:lnSpc>
            <a:spcBef>
              <a:spcPct val="0"/>
            </a:spcBef>
            <a:spcAft>
              <a:spcPct val="15000"/>
            </a:spcAft>
            <a:buChar char="••"/>
          </a:pPr>
          <a:r>
            <a:rPr lang="zh-CN" altLang="en-US" sz="1600" kern="1200" spc="-50" baseline="0">
              <a:latin typeface="仿宋" panose="02010609060101010101" pitchFamily="49" charset="-122"/>
              <a:ea typeface="仿宋" panose="02010609060101010101" pitchFamily="49" charset="-122"/>
            </a:rPr>
            <a:t>审计与风险委员会</a:t>
          </a:r>
          <a:endParaRPr lang="en-US" sz="1600" kern="1200" spc="-50" baseline="0">
            <a:latin typeface="仿宋" panose="02010609060101010101" pitchFamily="49" charset="-122"/>
            <a:ea typeface="仿宋" panose="02010609060101010101" pitchFamily="49" charset="-122"/>
          </a:endParaRPr>
        </a:p>
        <a:p>
          <a:pPr marL="171450" lvl="1" indent="-171450" algn="l" defTabSz="711200">
            <a:lnSpc>
              <a:spcPct val="90000"/>
            </a:lnSpc>
            <a:spcBef>
              <a:spcPct val="0"/>
            </a:spcBef>
            <a:spcAft>
              <a:spcPct val="15000"/>
            </a:spcAft>
            <a:buChar char="••"/>
          </a:pPr>
          <a:r>
            <a:rPr lang="zh-CN" altLang="en-US" sz="1600" kern="1200" spc="-50" baseline="0">
              <a:latin typeface="仿宋" panose="02010609060101010101" pitchFamily="49" charset="-122"/>
              <a:ea typeface="仿宋" panose="02010609060101010101" pitchFamily="49" charset="-122"/>
            </a:rPr>
            <a:t>董事主席委员会</a:t>
          </a:r>
          <a:endParaRPr lang="en-US" sz="1600" kern="1200" spc="-50" baseline="0">
            <a:latin typeface="仿宋" panose="02010609060101010101" pitchFamily="49" charset="-122"/>
            <a:ea typeface="仿宋" panose="02010609060101010101" pitchFamily="49" charset="-122"/>
          </a:endParaRPr>
        </a:p>
        <a:p>
          <a:pPr marL="171450" lvl="1" indent="-171450" algn="l" defTabSz="711200">
            <a:lnSpc>
              <a:spcPct val="90000"/>
            </a:lnSpc>
            <a:spcBef>
              <a:spcPct val="0"/>
            </a:spcBef>
            <a:spcAft>
              <a:spcPct val="15000"/>
            </a:spcAft>
            <a:buChar char="••"/>
          </a:pPr>
          <a:r>
            <a:rPr lang="zh-CN" altLang="en-US" sz="1600" kern="1200">
              <a:latin typeface="仿宋" panose="02010609060101010101" pitchFamily="49" charset="-122"/>
              <a:ea typeface="仿宋" panose="02010609060101010101" pitchFamily="49" charset="-122"/>
            </a:rPr>
            <a:t>绿色委员会</a:t>
          </a:r>
          <a:endParaRPr lang="en-US" sz="1600" kern="1200">
            <a:latin typeface="仿宋" panose="02010609060101010101" pitchFamily="49" charset="-122"/>
            <a:ea typeface="仿宋" panose="02010609060101010101" pitchFamily="49" charset="-122"/>
          </a:endParaRPr>
        </a:p>
        <a:p>
          <a:pPr marL="171450" lvl="1" indent="-171450" algn="l" defTabSz="711200">
            <a:lnSpc>
              <a:spcPct val="90000"/>
            </a:lnSpc>
            <a:spcBef>
              <a:spcPct val="0"/>
            </a:spcBef>
            <a:spcAft>
              <a:spcPct val="15000"/>
            </a:spcAft>
            <a:buChar char="••"/>
          </a:pPr>
          <a:r>
            <a:rPr lang="zh-CN" altLang="en-US" sz="1600" kern="1200">
              <a:latin typeface="仿宋" panose="02010609060101010101" pitchFamily="49" charset="-122"/>
              <a:ea typeface="仿宋" panose="02010609060101010101" pitchFamily="49" charset="-122"/>
            </a:rPr>
            <a:t>提名委员会</a:t>
          </a:r>
          <a:endParaRPr lang="en-US" sz="1600" kern="1200">
            <a:latin typeface="仿宋" panose="02010609060101010101" pitchFamily="49" charset="-122"/>
            <a:ea typeface="仿宋" panose="02010609060101010101" pitchFamily="49" charset="-122"/>
          </a:endParaRPr>
        </a:p>
        <a:p>
          <a:pPr marL="171450" lvl="1" indent="-171450" algn="l" defTabSz="711200">
            <a:lnSpc>
              <a:spcPct val="90000"/>
            </a:lnSpc>
            <a:spcBef>
              <a:spcPct val="0"/>
            </a:spcBef>
            <a:spcAft>
              <a:spcPct val="15000"/>
            </a:spcAft>
            <a:buChar char="••"/>
          </a:pPr>
          <a:r>
            <a:rPr lang="zh-CN" altLang="en-US" sz="1600" kern="1200">
              <a:latin typeface="仿宋" panose="02010609060101010101" pitchFamily="49" charset="-122"/>
              <a:ea typeface="仿宋" panose="02010609060101010101" pitchFamily="49" charset="-122"/>
            </a:rPr>
            <a:t>薪酬委员会</a:t>
          </a:r>
          <a:endParaRPr lang="en-US" sz="1600" kern="1200">
            <a:latin typeface="仿宋" panose="02010609060101010101" pitchFamily="49" charset="-122"/>
            <a:ea typeface="仿宋" panose="02010609060101010101" pitchFamily="49" charset="-122"/>
          </a:endParaRPr>
        </a:p>
        <a:p>
          <a:pPr marL="171450" lvl="1" indent="-171450" algn="l" defTabSz="711200">
            <a:lnSpc>
              <a:spcPct val="90000"/>
            </a:lnSpc>
            <a:spcBef>
              <a:spcPct val="0"/>
            </a:spcBef>
            <a:spcAft>
              <a:spcPct val="15000"/>
            </a:spcAft>
            <a:buChar char="••"/>
          </a:pPr>
          <a:r>
            <a:rPr lang="zh-CN" altLang="en-US" sz="1600" kern="1200">
              <a:latin typeface="仿宋" panose="02010609060101010101" pitchFamily="49" charset="-122"/>
              <a:ea typeface="仿宋" panose="02010609060101010101" pitchFamily="49" charset="-122"/>
            </a:rPr>
            <a:t>评估委员会</a:t>
          </a:r>
          <a:endParaRPr lang="en-US" sz="1600" kern="1200">
            <a:latin typeface="仿宋" panose="02010609060101010101" pitchFamily="49" charset="-122"/>
            <a:ea typeface="仿宋" panose="02010609060101010101" pitchFamily="49" charset="-122"/>
          </a:endParaRPr>
        </a:p>
      </dsp:txBody>
      <dsp:txXfrm>
        <a:off x="3614043" y="581058"/>
        <a:ext cx="1807774" cy="20200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62EF-0225-40D1-9667-D1ABE658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WRI</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Lihuan Zhou</dc:creator>
  <cp:lastModifiedBy>Shouqing Zhu</cp:lastModifiedBy>
  <cp:revision>4</cp:revision>
  <cp:lastPrinted>2015-01-30T19:13:00Z</cp:lastPrinted>
  <dcterms:created xsi:type="dcterms:W3CDTF">2015-03-16T06:06:00Z</dcterms:created>
  <dcterms:modified xsi:type="dcterms:W3CDTF">2015-03-16T06:08:00Z</dcterms:modified>
</cp:coreProperties>
</file>