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43" w:rsidRPr="006C7143" w:rsidRDefault="006C7143" w:rsidP="006C7143">
      <w:pPr>
        <w:widowControl/>
        <w:shd w:val="clear" w:color="auto" w:fill="FFFFFF"/>
        <w:spacing w:before="150" w:after="150" w:line="330" w:lineRule="atLeast"/>
        <w:ind w:left="75" w:right="75"/>
        <w:jc w:val="left"/>
        <w:outlineLvl w:val="1"/>
        <w:rPr>
          <w:rFonts w:ascii="Arial" w:eastAsia="宋体" w:hAnsi="Arial" w:cs="Arial"/>
          <w:b/>
          <w:bCs/>
          <w:color w:val="EF6001"/>
          <w:kern w:val="0"/>
          <w:sz w:val="33"/>
          <w:szCs w:val="33"/>
        </w:rPr>
      </w:pPr>
      <w:bookmarkStart w:id="0" w:name="_GoBack"/>
      <w:r w:rsidRPr="006C7143">
        <w:rPr>
          <w:rFonts w:ascii="Arial" w:eastAsia="宋体" w:hAnsi="Arial" w:cs="Arial"/>
          <w:b/>
          <w:bCs/>
          <w:color w:val="EF6001"/>
          <w:kern w:val="0"/>
          <w:sz w:val="33"/>
          <w:szCs w:val="33"/>
        </w:rPr>
        <w:t>用金融工具缓解绿色企业融资难</w:t>
      </w:r>
    </w:p>
    <w:bookmarkEnd w:id="0"/>
    <w:p w:rsidR="006C7143" w:rsidRPr="006C7143" w:rsidRDefault="006C7143" w:rsidP="006C7143">
      <w:pPr>
        <w:widowControl/>
        <w:shd w:val="clear" w:color="auto" w:fill="FFFFFF"/>
        <w:ind w:left="150" w:right="150"/>
        <w:jc w:val="left"/>
        <w:rPr>
          <w:rFonts w:ascii="Arial" w:eastAsia="宋体" w:hAnsi="Arial" w:cs="Arial"/>
          <w:color w:val="343434"/>
          <w:kern w:val="0"/>
          <w:sz w:val="18"/>
          <w:szCs w:val="18"/>
        </w:rPr>
      </w:pPr>
      <w:r w:rsidRPr="006C7143">
        <w:rPr>
          <w:rFonts w:ascii="Arial" w:eastAsia="宋体" w:hAnsi="Arial" w:cs="Arial"/>
          <w:color w:val="343434"/>
          <w:kern w:val="0"/>
          <w:sz w:val="18"/>
          <w:szCs w:val="18"/>
        </w:rPr>
        <w:t>作者：马　骏</w:t>
      </w:r>
    </w:p>
    <w:p w:rsidR="006C7143" w:rsidRPr="006C7143" w:rsidRDefault="006C7143" w:rsidP="006C7143">
      <w:pPr>
        <w:widowControl/>
        <w:pBdr>
          <w:bottom w:val="single" w:sz="6" w:space="8" w:color="CCCCCC"/>
        </w:pBdr>
        <w:shd w:val="clear" w:color="auto" w:fill="FFFFFF"/>
        <w:ind w:left="150" w:right="150"/>
        <w:jc w:val="left"/>
        <w:rPr>
          <w:rFonts w:ascii="Arial" w:eastAsia="宋体" w:hAnsi="Arial" w:cs="Arial"/>
          <w:color w:val="999999"/>
          <w:kern w:val="0"/>
          <w:sz w:val="18"/>
          <w:szCs w:val="18"/>
        </w:rPr>
      </w:pPr>
      <w:r w:rsidRPr="006C7143">
        <w:rPr>
          <w:rFonts w:ascii="Arial" w:eastAsia="宋体" w:hAnsi="Arial" w:cs="Arial"/>
          <w:color w:val="999999"/>
          <w:kern w:val="0"/>
          <w:sz w:val="18"/>
          <w:szCs w:val="18"/>
        </w:rPr>
        <w:t>2015</w:t>
      </w:r>
      <w:r w:rsidRPr="006C7143">
        <w:rPr>
          <w:rFonts w:ascii="Arial" w:eastAsia="宋体" w:hAnsi="Arial" w:cs="Arial"/>
          <w:color w:val="999999"/>
          <w:kern w:val="0"/>
          <w:sz w:val="18"/>
          <w:szCs w:val="18"/>
        </w:rPr>
        <w:t>年</w:t>
      </w:r>
      <w:r w:rsidRPr="006C7143">
        <w:rPr>
          <w:rFonts w:ascii="Arial" w:eastAsia="宋体" w:hAnsi="Arial" w:cs="Arial"/>
          <w:color w:val="999999"/>
          <w:kern w:val="0"/>
          <w:sz w:val="18"/>
          <w:szCs w:val="18"/>
        </w:rPr>
        <w:t>05</w:t>
      </w:r>
      <w:r w:rsidRPr="006C7143">
        <w:rPr>
          <w:rFonts w:ascii="Arial" w:eastAsia="宋体" w:hAnsi="Arial" w:cs="Arial"/>
          <w:color w:val="999999"/>
          <w:kern w:val="0"/>
          <w:sz w:val="18"/>
          <w:szCs w:val="18"/>
        </w:rPr>
        <w:t>月</w:t>
      </w:r>
      <w:r w:rsidRPr="006C7143">
        <w:rPr>
          <w:rFonts w:ascii="Arial" w:eastAsia="宋体" w:hAnsi="Arial" w:cs="Arial"/>
          <w:color w:val="999999"/>
          <w:kern w:val="0"/>
          <w:sz w:val="18"/>
          <w:szCs w:val="18"/>
        </w:rPr>
        <w:t>15</w:t>
      </w:r>
      <w:r w:rsidRPr="006C7143">
        <w:rPr>
          <w:rFonts w:ascii="Arial" w:eastAsia="宋体" w:hAnsi="Arial" w:cs="Arial"/>
          <w:color w:val="999999"/>
          <w:kern w:val="0"/>
          <w:sz w:val="18"/>
          <w:szCs w:val="18"/>
        </w:rPr>
        <w:t>日</w:t>
      </w:r>
      <w:r w:rsidRPr="006C7143">
        <w:rPr>
          <w:rFonts w:ascii="Arial" w:eastAsia="宋体" w:hAnsi="Arial" w:cs="Arial"/>
          <w:color w:val="999999"/>
          <w:kern w:val="0"/>
          <w:sz w:val="18"/>
          <w:szCs w:val="18"/>
        </w:rPr>
        <w:t> </w:t>
      </w:r>
      <w:r w:rsidRPr="006C7143">
        <w:rPr>
          <w:rFonts w:ascii="Arial" w:eastAsia="宋体" w:hAnsi="Arial" w:cs="Arial"/>
          <w:color w:val="999999"/>
          <w:kern w:val="0"/>
          <w:sz w:val="18"/>
          <w:szCs w:val="18"/>
        </w:rPr>
        <w:t>摘自：《中国金融》</w:t>
      </w:r>
      <w:r w:rsidRPr="006C7143">
        <w:rPr>
          <w:rFonts w:ascii="Arial" w:eastAsia="宋体" w:hAnsi="Arial" w:cs="Arial"/>
          <w:color w:val="999999"/>
          <w:kern w:val="0"/>
          <w:sz w:val="18"/>
          <w:szCs w:val="18"/>
        </w:rPr>
        <w:t xml:space="preserve"> 2015</w:t>
      </w:r>
      <w:r w:rsidRPr="006C7143">
        <w:rPr>
          <w:rFonts w:ascii="Arial" w:eastAsia="宋体" w:hAnsi="Arial" w:cs="Arial"/>
          <w:color w:val="999999"/>
          <w:kern w:val="0"/>
          <w:sz w:val="18"/>
          <w:szCs w:val="18"/>
        </w:rPr>
        <w:t>年第</w:t>
      </w:r>
      <w:r w:rsidRPr="006C7143">
        <w:rPr>
          <w:rFonts w:ascii="Arial" w:eastAsia="宋体" w:hAnsi="Arial" w:cs="Arial"/>
          <w:color w:val="999999"/>
          <w:kern w:val="0"/>
          <w:sz w:val="18"/>
          <w:szCs w:val="18"/>
        </w:rPr>
        <w:t>10</w:t>
      </w:r>
      <w:r w:rsidRPr="006C7143">
        <w:rPr>
          <w:rFonts w:ascii="Arial" w:eastAsia="宋体" w:hAnsi="Arial" w:cs="Arial"/>
          <w:color w:val="999999"/>
          <w:kern w:val="0"/>
          <w:sz w:val="18"/>
          <w:szCs w:val="18"/>
        </w:rPr>
        <w:t>期</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编者按：</w:t>
      </w:r>
      <w:r w:rsidRPr="006C7143">
        <w:rPr>
          <w:rFonts w:ascii="Arial" w:eastAsia="宋体" w:hAnsi="Arial" w:cs="Arial"/>
          <w:color w:val="343434"/>
          <w:kern w:val="0"/>
          <w:sz w:val="28"/>
          <w:szCs w:val="28"/>
          <w:u w:val="single"/>
        </w:rPr>
        <w:t>构建绿色金融体系是中国转变经济发展方式，推进绿色发展与可持续发展战略的必由之路。中国绿色金融体系的基本框架包括健全绿色金融制度、发展绿色金融市场、创新绿色金融工具、培育绿色金融机构等内容。本刊特邀相关专家从各个角度就如何更好地构建绿色金融体系进行了分析。</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w:t>
      </w:r>
      <w:r w:rsidRPr="006C7143">
        <w:rPr>
          <w:rFonts w:ascii="Arial" w:eastAsia="宋体" w:hAnsi="Arial" w:cs="Arial"/>
          <w:color w:val="343434"/>
          <w:kern w:val="0"/>
          <w:sz w:val="28"/>
          <w:szCs w:val="28"/>
        </w:rPr>
        <w:t> </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在国内外讨论关于绿色金融能否引导民间资金投资于绿色产业，推动经济绿色转型的话题时，经常出现的一个观点是：环境保护是公共产品，是没有盈利的，逐利的民间资本和金融机构是不会介入的，因此绿色投资必须由财政来承担。这是一个似是而非的观点。事实上，绝大部分绿色项目是带有一定外部性的私人产品（而非纯粹的公共产品），是有盈利的，只是利润率稍稍低于投资者预期的合理水平，或风险稍大于其预期的合理水平。因此，只要</w:t>
      </w:r>
      <w:proofErr w:type="gramStart"/>
      <w:r w:rsidRPr="006C7143">
        <w:rPr>
          <w:rFonts w:ascii="Arial" w:eastAsia="宋体" w:hAnsi="Arial" w:cs="Arial"/>
          <w:color w:val="343434"/>
          <w:kern w:val="0"/>
          <w:sz w:val="28"/>
          <w:szCs w:val="28"/>
        </w:rPr>
        <w:t>作出</w:t>
      </w:r>
      <w:proofErr w:type="gramEnd"/>
      <w:r w:rsidRPr="006C7143">
        <w:rPr>
          <w:rFonts w:ascii="Arial" w:eastAsia="宋体" w:hAnsi="Arial" w:cs="Arial"/>
          <w:color w:val="343434"/>
          <w:kern w:val="0"/>
          <w:sz w:val="28"/>
          <w:szCs w:val="28"/>
        </w:rPr>
        <w:t>一些创新性的金融安排，辅之以一定的（不一定要很大的）财政支持，就可能通过降低融资成本和投资风险（从而提高项目经风险调整后的回报率），提高资金的可获得性，使得大量民间资本愿意投资于绿色项目。</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w:t>
      </w:r>
      <w:r w:rsidRPr="006C7143">
        <w:rPr>
          <w:rFonts w:ascii="Arial" w:eastAsia="宋体" w:hAnsi="Arial" w:cs="Arial"/>
          <w:color w:val="343434"/>
          <w:kern w:val="0"/>
          <w:sz w:val="28"/>
          <w:szCs w:val="28"/>
        </w:rPr>
        <w:t> </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b/>
          <w:bCs/>
          <w:color w:val="343434"/>
          <w:kern w:val="0"/>
          <w:sz w:val="28"/>
          <w:szCs w:val="28"/>
        </w:rPr>
        <w:t>多数绿色产品是回报率稍低的私人产品</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lastRenderedPageBreak/>
        <w:t xml:space="preserve">　　</w:t>
      </w:r>
      <w:r w:rsidRPr="006C7143">
        <w:rPr>
          <w:rFonts w:ascii="Arial" w:eastAsia="宋体" w:hAnsi="Arial" w:cs="Arial"/>
          <w:color w:val="343434"/>
          <w:kern w:val="0"/>
          <w:sz w:val="28"/>
          <w:szCs w:val="28"/>
        </w:rPr>
        <w:t> </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所谓纯粹的公共产品和服务，是指只有正外部性，而无法识别个体受益者（因此无法向其收费）的产品和服务。对一个国家来说，典型的纯公共产品包括国防、法律体系、外交等。这些服务的受益者是全国老百姓，但无法确定到底是哪个具体的人受益于这些服务，无法采用</w:t>
      </w:r>
      <w:r w:rsidRPr="006C7143">
        <w:rPr>
          <w:rFonts w:ascii="Arial" w:eastAsia="宋体" w:hAnsi="Arial" w:cs="Arial"/>
          <w:color w:val="343434"/>
          <w:kern w:val="0"/>
          <w:sz w:val="28"/>
          <w:szCs w:val="28"/>
        </w:rPr>
        <w:t>“</w:t>
      </w:r>
      <w:r w:rsidRPr="006C7143">
        <w:rPr>
          <w:rFonts w:ascii="Arial" w:eastAsia="宋体" w:hAnsi="Arial" w:cs="Arial"/>
          <w:color w:val="343434"/>
          <w:kern w:val="0"/>
          <w:sz w:val="28"/>
          <w:szCs w:val="28"/>
        </w:rPr>
        <w:t>受益者付费</w:t>
      </w:r>
      <w:r w:rsidRPr="006C7143">
        <w:rPr>
          <w:rFonts w:ascii="Arial" w:eastAsia="宋体" w:hAnsi="Arial" w:cs="Arial"/>
          <w:color w:val="343434"/>
          <w:kern w:val="0"/>
          <w:sz w:val="28"/>
          <w:szCs w:val="28"/>
        </w:rPr>
        <w:t>”</w:t>
      </w:r>
      <w:r w:rsidRPr="006C7143">
        <w:rPr>
          <w:rFonts w:ascii="Arial" w:eastAsia="宋体" w:hAnsi="Arial" w:cs="Arial"/>
          <w:color w:val="343434"/>
          <w:kern w:val="0"/>
          <w:sz w:val="28"/>
          <w:szCs w:val="28"/>
        </w:rPr>
        <w:t>的方法来解决其融资的问题，所以只能用公共财政的方式来提供这种服务。</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绿色项目一般指环保、节能、清洁能源和清洁交通类的项目。这些项目中的大部分，虽然能够带来节能减排、控制污染的</w:t>
      </w:r>
      <w:r w:rsidRPr="006C7143">
        <w:rPr>
          <w:rFonts w:ascii="Arial" w:eastAsia="宋体" w:hAnsi="Arial" w:cs="Arial"/>
          <w:color w:val="343434"/>
          <w:kern w:val="0"/>
          <w:sz w:val="28"/>
          <w:szCs w:val="28"/>
        </w:rPr>
        <w:t>“</w:t>
      </w:r>
      <w:r w:rsidRPr="006C7143">
        <w:rPr>
          <w:rFonts w:ascii="Arial" w:eastAsia="宋体" w:hAnsi="Arial" w:cs="Arial"/>
          <w:color w:val="343434"/>
          <w:kern w:val="0"/>
          <w:sz w:val="28"/>
          <w:szCs w:val="28"/>
        </w:rPr>
        <w:t>正外部性</w:t>
      </w:r>
      <w:r w:rsidRPr="006C7143">
        <w:rPr>
          <w:rFonts w:ascii="Arial" w:eastAsia="宋体" w:hAnsi="Arial" w:cs="Arial"/>
          <w:color w:val="343434"/>
          <w:kern w:val="0"/>
          <w:sz w:val="28"/>
          <w:szCs w:val="28"/>
        </w:rPr>
        <w:t>”</w:t>
      </w:r>
      <w:r w:rsidRPr="006C7143">
        <w:rPr>
          <w:rFonts w:ascii="Arial" w:eastAsia="宋体" w:hAnsi="Arial" w:cs="Arial"/>
          <w:color w:val="343434"/>
          <w:kern w:val="0"/>
          <w:sz w:val="28"/>
          <w:szCs w:val="28"/>
        </w:rPr>
        <w:t>，使项目参与者之外的许多人受益（如清洁的空气和水使当地的居民受益），但不属于纯粹的公共产品或服务，而更多地体现了私人产品的特征。下面根据绿色项目的四大类别举四个例子。</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关于污染治理项目的例子。以治理空气污染的脱硫脱硝设备为例，其生产者可以通过向电厂销售设备而获得盈利。其使用者（如电厂），可以通过政府补贴的电价向电的消费者转嫁其成本，也是可以盈利的。治理污水的项目，通过政府提高水价，也是可以盈利的。政府之所以可以这样做，是因为清洁水源的受益者基本是可以识别的（即当地的用水者），所以高水价就是基于谁受益谁付费的原则来制定的。只是如果政府提供的电价和水价的补贴没有完全到位，就会使这些环保项目的投资回报稍稍低于市场要求的回报率。</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关于节能项目的例子。节能建筑绝对不是纯公共产品，因为租户获得的节能住宅或办公室的使用权完全是私人产品的性质。只是</w:t>
      </w:r>
      <w:r w:rsidRPr="006C7143">
        <w:rPr>
          <w:rFonts w:ascii="Arial" w:eastAsia="宋体" w:hAnsi="Arial" w:cs="Arial"/>
          <w:color w:val="343434"/>
          <w:kern w:val="0"/>
          <w:sz w:val="28"/>
          <w:szCs w:val="28"/>
        </w:rPr>
        <w:lastRenderedPageBreak/>
        <w:t>由于节能的设施使得租金稍贵，因此可能使出租率稍低，这使得节能建筑的投资利润率可能稍低于其他性能完全相同的普通建筑。再以节能冰箱为例，由于其可以提供所有冰箱的功能，也是一个典型的私人产品，只不过由于节能技术的使用而使其售价稍高，因此销售量较低，或售价与普通冰箱一样时利润率稍低而已。</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关于清洁能源的例子。包括太阳能、风能、天然气等在内的清洁能源的成本比常规煤炭要高一些，因此采用这些能源的电厂、汽车等用户的运行成本比火电较高。但清洁发电肯定不是纯粹意义上的公共产品，因为用电者获得了所有电作为私人产品的好处（可以用来照明、享受电视电脑等），只是成本稍高而已。清洁汽车的私人受益特征也一目了然，因为驾车者获得了所有使用汽车的便利性。</w:t>
      </w:r>
    </w:p>
    <w:p w:rsidR="006C7143" w:rsidRPr="006C7143" w:rsidRDefault="006C7143" w:rsidP="006C7143">
      <w:pPr>
        <w:widowControl/>
        <w:shd w:val="clear" w:color="auto" w:fill="FFFFFF"/>
        <w:spacing w:line="408" w:lineRule="atLeast"/>
        <w:jc w:val="left"/>
        <w:rPr>
          <w:rFonts w:ascii="Arial" w:eastAsia="宋体" w:hAnsi="Arial" w:cs="Arial"/>
          <w:color w:val="343434"/>
          <w:kern w:val="0"/>
          <w:sz w:val="28"/>
          <w:szCs w:val="28"/>
        </w:rPr>
      </w:pPr>
      <w:r w:rsidRPr="006C7143">
        <w:rPr>
          <w:rFonts w:ascii="Arial" w:eastAsia="宋体" w:hAnsi="Arial" w:cs="Arial"/>
          <w:color w:val="343434"/>
          <w:kern w:val="0"/>
          <w:sz w:val="28"/>
          <w:szCs w:val="28"/>
        </w:rPr>
        <w:t xml:space="preserve">　　清洁交通项目的例子。最典型的清洁交通项目是铁路和地铁。给定同样的运输量，铁路和地铁产生的空气污染只有公路交通的十分之一，因此有正的外部性。但是，铁路和地铁的服务对象（受益者）也是可以通过上车买票来识别的，所以不是纯粹的公共产品。只是政府由于必须考虑到民众的诉求和收入分配等因素，铁路和地铁的定价不能太高，因而这些项目的收益率往往略低于私人投资的预期水平。</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既然多数绿色项目从本质上来说都是私人产品，那么</w:t>
      </w:r>
      <w:r w:rsidRPr="006C7143">
        <w:rPr>
          <w:rFonts w:ascii="Arial" w:eastAsia="宋体" w:hAnsi="Arial" w:cs="Arial"/>
          <w:color w:val="343434"/>
          <w:kern w:val="0"/>
          <w:szCs w:val="21"/>
        </w:rPr>
        <w:t>“</w:t>
      </w:r>
      <w:r w:rsidRPr="006C7143">
        <w:rPr>
          <w:rFonts w:ascii="Arial" w:eastAsia="宋体" w:hAnsi="Arial" w:cs="Arial"/>
          <w:color w:val="343434"/>
          <w:kern w:val="0"/>
          <w:szCs w:val="21"/>
        </w:rPr>
        <w:t>绿色项目只能由政府买单</w:t>
      </w:r>
      <w:r w:rsidRPr="006C7143">
        <w:rPr>
          <w:rFonts w:ascii="Arial" w:eastAsia="宋体" w:hAnsi="Arial" w:cs="Arial"/>
          <w:color w:val="343434"/>
          <w:kern w:val="0"/>
          <w:szCs w:val="21"/>
        </w:rPr>
        <w:t>”</w:t>
      </w:r>
      <w:r w:rsidRPr="006C7143">
        <w:rPr>
          <w:rFonts w:ascii="Arial" w:eastAsia="宋体" w:hAnsi="Arial" w:cs="Arial"/>
          <w:color w:val="343434"/>
          <w:kern w:val="0"/>
          <w:szCs w:val="21"/>
        </w:rPr>
        <w:t>的结论就不成立。民间资本在绿色产业中是大有可为的。关键在于如何通过金融和各种体制安排将绿色项目的投资回报率提高到合理水平。一些从事绿色行业投资和分析的专家提供了如下典型绿色项目的净资产回报率的大致估算：某天然气汽车加气站项目为</w:t>
      </w:r>
      <w:r w:rsidRPr="006C7143">
        <w:rPr>
          <w:rFonts w:ascii="Arial" w:eastAsia="宋体" w:hAnsi="Arial" w:cs="Arial"/>
          <w:color w:val="343434"/>
          <w:kern w:val="0"/>
          <w:szCs w:val="21"/>
        </w:rPr>
        <w:t>6%</w:t>
      </w:r>
      <w:r w:rsidRPr="006C7143">
        <w:rPr>
          <w:rFonts w:ascii="Arial" w:eastAsia="宋体" w:hAnsi="Arial" w:cs="Arial"/>
          <w:color w:val="343434"/>
          <w:kern w:val="0"/>
          <w:szCs w:val="21"/>
        </w:rPr>
        <w:t>；某地铁项目为</w:t>
      </w:r>
      <w:r w:rsidRPr="006C7143">
        <w:rPr>
          <w:rFonts w:ascii="Arial" w:eastAsia="宋体" w:hAnsi="Arial" w:cs="Arial"/>
          <w:color w:val="343434"/>
          <w:kern w:val="0"/>
          <w:szCs w:val="21"/>
        </w:rPr>
        <w:t>4%</w:t>
      </w:r>
      <w:r w:rsidRPr="006C7143">
        <w:rPr>
          <w:rFonts w:ascii="Arial" w:eastAsia="宋体" w:hAnsi="Arial" w:cs="Arial"/>
          <w:color w:val="343434"/>
          <w:kern w:val="0"/>
          <w:szCs w:val="21"/>
        </w:rPr>
        <w:t>；某污水处理项目为</w:t>
      </w:r>
      <w:r w:rsidRPr="006C7143">
        <w:rPr>
          <w:rFonts w:ascii="Arial" w:eastAsia="宋体" w:hAnsi="Arial" w:cs="Arial"/>
          <w:color w:val="343434"/>
          <w:kern w:val="0"/>
          <w:szCs w:val="21"/>
        </w:rPr>
        <w:t>5%</w:t>
      </w:r>
      <w:r w:rsidRPr="006C7143">
        <w:rPr>
          <w:rFonts w:ascii="Arial" w:eastAsia="宋体" w:hAnsi="Arial" w:cs="Arial"/>
          <w:color w:val="343434"/>
          <w:kern w:val="0"/>
          <w:szCs w:val="21"/>
        </w:rPr>
        <w:t>；某分布式太阳能发电项目为</w:t>
      </w:r>
      <w:r w:rsidRPr="006C7143">
        <w:rPr>
          <w:rFonts w:ascii="Arial" w:eastAsia="宋体" w:hAnsi="Arial" w:cs="Arial"/>
          <w:color w:val="343434"/>
          <w:kern w:val="0"/>
          <w:szCs w:val="21"/>
        </w:rPr>
        <w:t>8%</w:t>
      </w:r>
      <w:r w:rsidRPr="006C7143">
        <w:rPr>
          <w:rFonts w:ascii="Arial" w:eastAsia="宋体" w:hAnsi="Arial" w:cs="Arial"/>
          <w:color w:val="343434"/>
          <w:kern w:val="0"/>
          <w:szCs w:val="21"/>
        </w:rPr>
        <w:t>；某风能发电项目为</w:t>
      </w:r>
      <w:r w:rsidRPr="006C7143">
        <w:rPr>
          <w:rFonts w:ascii="Arial" w:eastAsia="宋体" w:hAnsi="Arial" w:cs="Arial"/>
          <w:color w:val="343434"/>
          <w:kern w:val="0"/>
          <w:szCs w:val="21"/>
        </w:rPr>
        <w:lastRenderedPageBreak/>
        <w:t>10%</w:t>
      </w:r>
      <w:r w:rsidRPr="006C7143">
        <w:rPr>
          <w:rFonts w:ascii="Arial" w:eastAsia="宋体" w:hAnsi="Arial" w:cs="Arial"/>
          <w:color w:val="343434"/>
          <w:kern w:val="0"/>
          <w:szCs w:val="21"/>
        </w:rPr>
        <w:t>；某电动汽车充电站项目为略微亏损；某垃圾发电项目为</w:t>
      </w:r>
      <w:r w:rsidRPr="006C7143">
        <w:rPr>
          <w:rFonts w:ascii="Arial" w:eastAsia="宋体" w:hAnsi="Arial" w:cs="Arial"/>
          <w:color w:val="343434"/>
          <w:kern w:val="0"/>
          <w:szCs w:val="21"/>
        </w:rPr>
        <w:t>8%</w:t>
      </w:r>
      <w:r w:rsidRPr="006C7143">
        <w:rPr>
          <w:rFonts w:ascii="Arial" w:eastAsia="宋体" w:hAnsi="Arial" w:cs="Arial"/>
          <w:color w:val="343434"/>
          <w:kern w:val="0"/>
          <w:szCs w:val="21"/>
        </w:rPr>
        <w:t>；某天然气发电项目为</w:t>
      </w:r>
      <w:r w:rsidRPr="006C7143">
        <w:rPr>
          <w:rFonts w:ascii="Arial" w:eastAsia="宋体" w:hAnsi="Arial" w:cs="Arial"/>
          <w:color w:val="343434"/>
          <w:kern w:val="0"/>
          <w:szCs w:val="21"/>
        </w:rPr>
        <w:t>5%</w:t>
      </w:r>
      <w:r w:rsidRPr="006C7143">
        <w:rPr>
          <w:rFonts w:ascii="Arial" w:eastAsia="宋体" w:hAnsi="Arial" w:cs="Arial"/>
          <w:color w:val="343434"/>
          <w:kern w:val="0"/>
          <w:szCs w:val="21"/>
        </w:rPr>
        <w:t>；某生物质发电项目为</w:t>
      </w:r>
      <w:r w:rsidRPr="006C7143">
        <w:rPr>
          <w:rFonts w:ascii="Arial" w:eastAsia="宋体" w:hAnsi="Arial" w:cs="Arial"/>
          <w:color w:val="343434"/>
          <w:kern w:val="0"/>
          <w:szCs w:val="21"/>
        </w:rPr>
        <w:t>7%</w:t>
      </w:r>
      <w:r w:rsidRPr="006C7143">
        <w:rPr>
          <w:rFonts w:ascii="Arial" w:eastAsia="宋体" w:hAnsi="Arial" w:cs="Arial"/>
          <w:color w:val="343434"/>
          <w:kern w:val="0"/>
          <w:szCs w:val="21"/>
        </w:rPr>
        <w:t>；某工业锅炉</w:t>
      </w:r>
      <w:proofErr w:type="gramStart"/>
      <w:r w:rsidRPr="006C7143">
        <w:rPr>
          <w:rFonts w:ascii="Arial" w:eastAsia="宋体" w:hAnsi="Arial" w:cs="Arial"/>
          <w:color w:val="343434"/>
          <w:kern w:val="0"/>
          <w:szCs w:val="21"/>
        </w:rPr>
        <w:t>煤改气项目</w:t>
      </w:r>
      <w:proofErr w:type="gramEnd"/>
      <w:r w:rsidRPr="006C7143">
        <w:rPr>
          <w:rFonts w:ascii="Arial" w:eastAsia="宋体" w:hAnsi="Arial" w:cs="Arial"/>
          <w:color w:val="343434"/>
          <w:kern w:val="0"/>
          <w:szCs w:val="21"/>
        </w:rPr>
        <w:t>为</w:t>
      </w:r>
      <w:r w:rsidRPr="006C7143">
        <w:rPr>
          <w:rFonts w:ascii="Arial" w:eastAsia="宋体" w:hAnsi="Arial" w:cs="Arial"/>
          <w:color w:val="343434"/>
          <w:kern w:val="0"/>
          <w:szCs w:val="21"/>
        </w:rPr>
        <w:t>6%</w:t>
      </w:r>
      <w:r w:rsidRPr="006C7143">
        <w:rPr>
          <w:rFonts w:ascii="Arial" w:eastAsia="宋体" w:hAnsi="Arial" w:cs="Arial"/>
          <w:color w:val="343434"/>
          <w:kern w:val="0"/>
          <w:szCs w:val="21"/>
        </w:rPr>
        <w:t>；某餐厨废弃物无害化处理项目为</w:t>
      </w:r>
      <w:r w:rsidRPr="006C7143">
        <w:rPr>
          <w:rFonts w:ascii="Arial" w:eastAsia="宋体" w:hAnsi="Arial" w:cs="Arial"/>
          <w:color w:val="343434"/>
          <w:kern w:val="0"/>
          <w:szCs w:val="21"/>
        </w:rPr>
        <w:t>8%</w:t>
      </w:r>
      <w:r w:rsidRPr="006C7143">
        <w:rPr>
          <w:rFonts w:ascii="Arial" w:eastAsia="宋体" w:hAnsi="Arial" w:cs="Arial"/>
          <w:color w:val="343434"/>
          <w:kern w:val="0"/>
          <w:szCs w:val="21"/>
        </w:rPr>
        <w:t>；某集中供热项目为</w:t>
      </w:r>
      <w:r w:rsidRPr="006C7143">
        <w:rPr>
          <w:rFonts w:ascii="Arial" w:eastAsia="宋体" w:hAnsi="Arial" w:cs="Arial"/>
          <w:color w:val="343434"/>
          <w:kern w:val="0"/>
          <w:szCs w:val="21"/>
        </w:rPr>
        <w:t>0.1%</w:t>
      </w:r>
      <w:r w:rsidRPr="006C7143">
        <w:rPr>
          <w:rFonts w:ascii="Arial" w:eastAsia="宋体" w:hAnsi="Arial" w:cs="Arial"/>
          <w:color w:val="343434"/>
          <w:kern w:val="0"/>
          <w:szCs w:val="21"/>
        </w:rPr>
        <w:t>；等等。</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这些数据表明，这些绿色项目的回报率肯定不是负的</w:t>
      </w:r>
      <w:r w:rsidRPr="006C7143">
        <w:rPr>
          <w:rFonts w:ascii="Arial" w:eastAsia="宋体" w:hAnsi="Arial" w:cs="Arial"/>
          <w:color w:val="343434"/>
          <w:kern w:val="0"/>
          <w:szCs w:val="21"/>
        </w:rPr>
        <w:t>100%</w:t>
      </w:r>
      <w:r w:rsidRPr="006C7143">
        <w:rPr>
          <w:rFonts w:ascii="Arial" w:eastAsia="宋体" w:hAnsi="Arial" w:cs="Arial"/>
          <w:color w:val="343434"/>
          <w:kern w:val="0"/>
          <w:szCs w:val="21"/>
        </w:rPr>
        <w:t>（纯公共产品），而平均来看回报率为</w:t>
      </w:r>
      <w:r w:rsidRPr="006C7143">
        <w:rPr>
          <w:rFonts w:ascii="Arial" w:eastAsia="宋体" w:hAnsi="Arial" w:cs="Arial"/>
          <w:color w:val="343434"/>
          <w:kern w:val="0"/>
          <w:szCs w:val="21"/>
        </w:rPr>
        <w:t>5%</w:t>
      </w:r>
      <w:r w:rsidRPr="006C7143">
        <w:rPr>
          <w:rFonts w:ascii="Arial" w:eastAsia="宋体" w:hAnsi="Arial" w:cs="Arial"/>
          <w:color w:val="343434"/>
          <w:kern w:val="0"/>
          <w:szCs w:val="21"/>
        </w:rPr>
        <w:t>～</w:t>
      </w:r>
      <w:r w:rsidRPr="006C7143">
        <w:rPr>
          <w:rFonts w:ascii="Arial" w:eastAsia="宋体" w:hAnsi="Arial" w:cs="Arial"/>
          <w:color w:val="343434"/>
          <w:kern w:val="0"/>
          <w:szCs w:val="21"/>
        </w:rPr>
        <w:t>6%</w:t>
      </w:r>
      <w:r w:rsidRPr="006C7143">
        <w:rPr>
          <w:rFonts w:ascii="Arial" w:eastAsia="宋体" w:hAnsi="Arial" w:cs="Arial"/>
          <w:color w:val="343434"/>
          <w:kern w:val="0"/>
          <w:szCs w:val="21"/>
        </w:rPr>
        <w:t>，只是比私人部门所要求的</w:t>
      </w:r>
      <w:r w:rsidRPr="006C7143">
        <w:rPr>
          <w:rFonts w:ascii="Arial" w:eastAsia="宋体" w:hAnsi="Arial" w:cs="Arial"/>
          <w:color w:val="343434"/>
          <w:kern w:val="0"/>
          <w:szCs w:val="21"/>
        </w:rPr>
        <w:t>6%</w:t>
      </w:r>
      <w:r w:rsidRPr="006C7143">
        <w:rPr>
          <w:rFonts w:ascii="Arial" w:eastAsia="宋体" w:hAnsi="Arial" w:cs="Arial"/>
          <w:color w:val="343434"/>
          <w:kern w:val="0"/>
          <w:szCs w:val="21"/>
        </w:rPr>
        <w:t>～</w:t>
      </w:r>
      <w:r w:rsidRPr="006C7143">
        <w:rPr>
          <w:rFonts w:ascii="Arial" w:eastAsia="宋体" w:hAnsi="Arial" w:cs="Arial"/>
          <w:color w:val="343434"/>
          <w:kern w:val="0"/>
          <w:szCs w:val="21"/>
        </w:rPr>
        <w:t>10%</w:t>
      </w:r>
      <w:r w:rsidRPr="006C7143">
        <w:rPr>
          <w:rFonts w:ascii="Arial" w:eastAsia="宋体" w:hAnsi="Arial" w:cs="Arial"/>
          <w:color w:val="343434"/>
          <w:kern w:val="0"/>
          <w:szCs w:val="21"/>
        </w:rPr>
        <w:t>的资本金回报率低几个百分点而已（如果项目的回报率长期稳定，许多保险和养老基金就会满足于</w:t>
      </w:r>
      <w:r w:rsidRPr="006C7143">
        <w:rPr>
          <w:rFonts w:ascii="Arial" w:eastAsia="宋体" w:hAnsi="Arial" w:cs="Arial"/>
          <w:color w:val="343434"/>
          <w:kern w:val="0"/>
          <w:szCs w:val="21"/>
        </w:rPr>
        <w:t>6%</w:t>
      </w:r>
      <w:r w:rsidRPr="006C7143">
        <w:rPr>
          <w:rFonts w:ascii="Arial" w:eastAsia="宋体" w:hAnsi="Arial" w:cs="Arial"/>
          <w:color w:val="343434"/>
          <w:kern w:val="0"/>
          <w:szCs w:val="21"/>
        </w:rPr>
        <w:t>的回报率；对风险稍大的项目，投资者会</w:t>
      </w:r>
      <w:proofErr w:type="gramStart"/>
      <w:r w:rsidRPr="006C7143">
        <w:rPr>
          <w:rFonts w:ascii="Arial" w:eastAsia="宋体" w:hAnsi="Arial" w:cs="Arial"/>
          <w:color w:val="343434"/>
          <w:kern w:val="0"/>
          <w:szCs w:val="21"/>
        </w:rPr>
        <w:t>要求近</w:t>
      </w:r>
      <w:proofErr w:type="gramEnd"/>
      <w:r w:rsidRPr="006C7143">
        <w:rPr>
          <w:rFonts w:ascii="Arial" w:eastAsia="宋体" w:hAnsi="Arial" w:cs="Arial"/>
          <w:color w:val="343434"/>
          <w:kern w:val="0"/>
          <w:szCs w:val="21"/>
        </w:rPr>
        <w:t>10%</w:t>
      </w:r>
      <w:r w:rsidRPr="006C7143">
        <w:rPr>
          <w:rFonts w:ascii="Arial" w:eastAsia="宋体" w:hAnsi="Arial" w:cs="Arial"/>
          <w:color w:val="343434"/>
          <w:kern w:val="0"/>
          <w:szCs w:val="21"/>
        </w:rPr>
        <w:t>的回报率）。要解决这个回报率的差距，并没有许多人想象得那么难，也不需要太多的财政资金。</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w:t>
      </w:r>
      <w:r w:rsidRPr="006C7143">
        <w:rPr>
          <w:rFonts w:ascii="Arial" w:eastAsia="宋体" w:hAnsi="Arial" w:cs="Arial"/>
          <w:color w:val="343434"/>
          <w:kern w:val="0"/>
          <w:szCs w:val="21"/>
        </w:rPr>
        <w:t> </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b/>
          <w:bCs/>
          <w:color w:val="343434"/>
          <w:kern w:val="0"/>
          <w:szCs w:val="21"/>
        </w:rPr>
        <w:t>用金融手段提高绿色项目的回报率</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w:t>
      </w:r>
      <w:r w:rsidRPr="006C7143">
        <w:rPr>
          <w:rFonts w:ascii="Arial" w:eastAsia="宋体" w:hAnsi="Arial" w:cs="Arial"/>
          <w:color w:val="343434"/>
          <w:kern w:val="0"/>
          <w:szCs w:val="21"/>
        </w:rPr>
        <w:t> </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上述例子说明，许多绿色项目的回报率</w:t>
      </w:r>
      <w:proofErr w:type="gramStart"/>
      <w:r w:rsidRPr="006C7143">
        <w:rPr>
          <w:rFonts w:ascii="Arial" w:eastAsia="宋体" w:hAnsi="Arial" w:cs="Arial"/>
          <w:color w:val="343434"/>
          <w:kern w:val="0"/>
          <w:szCs w:val="21"/>
        </w:rPr>
        <w:t>离吸引</w:t>
      </w:r>
      <w:proofErr w:type="gramEnd"/>
      <w:r w:rsidRPr="006C7143">
        <w:rPr>
          <w:rFonts w:ascii="Arial" w:eastAsia="宋体" w:hAnsi="Arial" w:cs="Arial"/>
          <w:color w:val="343434"/>
          <w:kern w:val="0"/>
          <w:szCs w:val="21"/>
        </w:rPr>
        <w:t>民间资本的距离并不太远，只是差了</w:t>
      </w:r>
      <w:r w:rsidRPr="006C7143">
        <w:rPr>
          <w:rFonts w:ascii="Arial" w:eastAsia="宋体" w:hAnsi="Arial" w:cs="Arial"/>
          <w:color w:val="343434"/>
          <w:kern w:val="0"/>
          <w:szCs w:val="21"/>
        </w:rPr>
        <w:t>“</w:t>
      </w:r>
      <w:r w:rsidRPr="006C7143">
        <w:rPr>
          <w:rFonts w:ascii="Arial" w:eastAsia="宋体" w:hAnsi="Arial" w:cs="Arial"/>
          <w:color w:val="343434"/>
          <w:kern w:val="0"/>
          <w:szCs w:val="21"/>
        </w:rPr>
        <w:t>最后几个百分点</w:t>
      </w:r>
      <w:r w:rsidRPr="006C7143">
        <w:rPr>
          <w:rFonts w:ascii="Arial" w:eastAsia="宋体" w:hAnsi="Arial" w:cs="Arial"/>
          <w:color w:val="343434"/>
          <w:kern w:val="0"/>
          <w:szCs w:val="21"/>
        </w:rPr>
        <w:t>”</w:t>
      </w:r>
      <w:r w:rsidRPr="006C7143">
        <w:rPr>
          <w:rFonts w:ascii="Arial" w:eastAsia="宋体" w:hAnsi="Arial" w:cs="Arial"/>
          <w:color w:val="343434"/>
          <w:kern w:val="0"/>
          <w:szCs w:val="21"/>
        </w:rPr>
        <w:t>。要将绿色项目的回报率提高几个百分点或降低项目风险，改善资金的可获得性</w:t>
      </w:r>
      <w:r w:rsidRPr="006C7143">
        <w:rPr>
          <w:rFonts w:ascii="Arial" w:eastAsia="宋体" w:hAnsi="Arial" w:cs="Arial"/>
          <w:color w:val="343434"/>
          <w:kern w:val="0"/>
          <w:szCs w:val="21"/>
        </w:rPr>
        <w:t>——</w:t>
      </w:r>
      <w:r w:rsidRPr="006C7143">
        <w:rPr>
          <w:rFonts w:ascii="Arial" w:eastAsia="宋体" w:hAnsi="Arial" w:cs="Arial"/>
          <w:color w:val="343434"/>
          <w:kern w:val="0"/>
          <w:szCs w:val="21"/>
        </w:rPr>
        <w:t>即解决绿色企业融资贵融资难的问题，有许多金融手段可用，关键在于开阔思路，充分借鉴国内外好的做法，推动绿色金融领域不断创新。下面我们举几个用金融和相关手段解决绿色企业融资难和融资</w:t>
      </w:r>
      <w:proofErr w:type="gramStart"/>
      <w:r w:rsidRPr="006C7143">
        <w:rPr>
          <w:rFonts w:ascii="Arial" w:eastAsia="宋体" w:hAnsi="Arial" w:cs="Arial"/>
          <w:color w:val="343434"/>
          <w:kern w:val="0"/>
          <w:szCs w:val="21"/>
        </w:rPr>
        <w:t>贵问题</w:t>
      </w:r>
      <w:proofErr w:type="gramEnd"/>
      <w:r w:rsidRPr="006C7143">
        <w:rPr>
          <w:rFonts w:ascii="Arial" w:eastAsia="宋体" w:hAnsi="Arial" w:cs="Arial"/>
          <w:color w:val="343434"/>
          <w:kern w:val="0"/>
          <w:szCs w:val="21"/>
        </w:rPr>
        <w:t>的例子或思路。</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一，政府对绿色贷款提供贴息。贴息可以直接降低融资成本，提高绿色投资项目的回报率。目前，我国已经有对绿色贷款贴息的做法，但不普遍，数量较小。事实上，与财政直接投资或直接补贴绿色项目相比，贴息能用很小的财政资源撬动几十倍的民间资本，因此有必要大力发展。在管理方面，要放松对贴息利率和期限的限制，要试点委托银行管理绿色贷款贴息的做法。</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二，对绿色债券提供税收和监管优惠。发行绿色债券，可以为绿色项目提供一个新的融资渠道。渠道畅通，资金可获得性提高，本身就会降低融资成本。另外，如果能够对投资者免利息所得税、对用绿色债券融得资金进行绿色信贷的银行提供优惠的风险权重等，就可以进一步降低绿色债券的融资成本。通过减免税收来激励绿色债券融资，可以使一元钱的财政资金撬动几十乃至上百元的民间资本，其杠杆效果远远大于对政府对环保项目的直接投资。</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三，发行中小企业绿色集合债。许多中小企业由于规模较小难以独立发债，即使独立发债，其成本也太高。如果几家、十几家中小企业采取集合债的方式发行，可以明显降低融资成本，提高绿色企业资金的可获得性。目前，中小企业集合</w:t>
      </w:r>
      <w:proofErr w:type="gramStart"/>
      <w:r w:rsidRPr="006C7143">
        <w:rPr>
          <w:rFonts w:ascii="Arial" w:eastAsia="宋体" w:hAnsi="Arial" w:cs="Arial"/>
          <w:color w:val="343434"/>
          <w:kern w:val="0"/>
          <w:szCs w:val="21"/>
        </w:rPr>
        <w:t>债已经</w:t>
      </w:r>
      <w:proofErr w:type="gramEnd"/>
      <w:r w:rsidRPr="006C7143">
        <w:rPr>
          <w:rFonts w:ascii="Arial" w:eastAsia="宋体" w:hAnsi="Arial" w:cs="Arial"/>
          <w:color w:val="343434"/>
          <w:kern w:val="0"/>
          <w:szCs w:val="21"/>
        </w:rPr>
        <w:t>有不少了，未来应该发行以绿色为主题的中小企业集合债。当然，在这个过程中，监管部门要设法控制过高的中介费用、披露费用和其他成本。</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四，发行项目收益支持票据。项目收益支持票据是绿色债券的一种。假设一个地方融资平台启动一个绿色项目（如地铁或水处理项目），但由于该平台的财务状况达不到发行债券的要求而无法以平台公司为发行主体在债券市场上融资。在这种情况下，就可以考虑发行项目收益支持票据，把有稳定现金流的绿色项目做成一个</w:t>
      </w:r>
      <w:r w:rsidRPr="006C7143">
        <w:rPr>
          <w:rFonts w:ascii="Arial" w:eastAsia="宋体" w:hAnsi="Arial" w:cs="Arial"/>
          <w:color w:val="343434"/>
          <w:kern w:val="0"/>
          <w:szCs w:val="21"/>
        </w:rPr>
        <w:t>SPV</w:t>
      </w:r>
      <w:r w:rsidRPr="006C7143">
        <w:rPr>
          <w:rFonts w:ascii="Arial" w:eastAsia="宋体" w:hAnsi="Arial" w:cs="Arial"/>
          <w:color w:val="343434"/>
          <w:kern w:val="0"/>
          <w:szCs w:val="21"/>
        </w:rPr>
        <w:t>，以未来项目的收益来支持票据的还本付息。这样，就解决了融资可获得性的问题。</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lastRenderedPageBreak/>
        <w:t xml:space="preserve">　　第五，为绿色债券提供部分担保。国际上，世界银行旗下的国际金融公司（</w:t>
      </w:r>
      <w:r w:rsidRPr="006C7143">
        <w:rPr>
          <w:rFonts w:ascii="Arial" w:eastAsia="宋体" w:hAnsi="Arial" w:cs="Arial"/>
          <w:color w:val="343434"/>
          <w:kern w:val="0"/>
          <w:szCs w:val="21"/>
        </w:rPr>
        <w:t>IFC</w:t>
      </w:r>
      <w:r w:rsidRPr="006C7143">
        <w:rPr>
          <w:rFonts w:ascii="Arial" w:eastAsia="宋体" w:hAnsi="Arial" w:cs="Arial"/>
          <w:color w:val="343434"/>
          <w:kern w:val="0"/>
          <w:szCs w:val="21"/>
        </w:rPr>
        <w:t>）已经创立了一个为绿色债券担保的项目，可以为世界各国发行的绿色债券提供部分担保。由于取得了</w:t>
      </w:r>
      <w:r w:rsidRPr="006C7143">
        <w:rPr>
          <w:rFonts w:ascii="Arial" w:eastAsia="宋体" w:hAnsi="Arial" w:cs="Arial"/>
          <w:color w:val="343434"/>
          <w:kern w:val="0"/>
          <w:szCs w:val="21"/>
        </w:rPr>
        <w:t>IFC</w:t>
      </w:r>
      <w:r w:rsidRPr="006C7143">
        <w:rPr>
          <w:rFonts w:ascii="Arial" w:eastAsia="宋体" w:hAnsi="Arial" w:cs="Arial"/>
          <w:color w:val="343434"/>
          <w:kern w:val="0"/>
          <w:szCs w:val="21"/>
        </w:rPr>
        <w:t>的担保，这些名不见经传的企业发行债券的成本明显降低。我国国内金融机构也应该开发类似的对绿色债券和绿色贷款的担保服务。</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六，允许和支持以绿色项目收费权抵押（质押）贷款。污水处理等环保项目、地铁和铁路等清洁交通项目虽然收益稳定，但前期投资很大。如果能以经过政府收费主管部门确认的项目收费权作为质押从银行取得贷款，将可以解决这些绿色基础设施项目融资的难题。</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第七，推进绿色贷款的证券化。许多银行的资产方已经有不少绿色贷款，但继续扩大绿色信贷则受到资本金、贷款比、合意贷款规模等的约束。绿色贷款的证券化可以帮助将这些绿色贷款</w:t>
      </w:r>
      <w:r w:rsidRPr="006C7143">
        <w:rPr>
          <w:rFonts w:ascii="Arial" w:eastAsia="宋体" w:hAnsi="Arial" w:cs="Arial"/>
          <w:color w:val="343434"/>
          <w:kern w:val="0"/>
          <w:szCs w:val="21"/>
        </w:rPr>
        <w:t>“</w:t>
      </w:r>
      <w:r w:rsidRPr="006C7143">
        <w:rPr>
          <w:rFonts w:ascii="Arial" w:eastAsia="宋体" w:hAnsi="Arial" w:cs="Arial"/>
          <w:color w:val="343434"/>
          <w:kern w:val="0"/>
          <w:szCs w:val="21"/>
        </w:rPr>
        <w:t>剥离</w:t>
      </w:r>
      <w:r w:rsidRPr="006C7143">
        <w:rPr>
          <w:rFonts w:ascii="Arial" w:eastAsia="宋体" w:hAnsi="Arial" w:cs="Arial"/>
          <w:color w:val="343434"/>
          <w:kern w:val="0"/>
          <w:szCs w:val="21"/>
        </w:rPr>
        <w:t>”</w:t>
      </w:r>
      <w:r w:rsidRPr="006C7143">
        <w:rPr>
          <w:rFonts w:ascii="Arial" w:eastAsia="宋体" w:hAnsi="Arial" w:cs="Arial"/>
          <w:color w:val="343434"/>
          <w:kern w:val="0"/>
          <w:szCs w:val="21"/>
        </w:rPr>
        <w:t>出银行的资产负债表，避免占用资本金和受到其他约束，从而可以增加银行发放绿色信贷的资源。</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第八，政府参与投资，以降低私人资本面临的风险。英国绿色银行的资本金只有</w:t>
      </w:r>
      <w:r w:rsidRPr="006C7143">
        <w:rPr>
          <w:rFonts w:ascii="Arial" w:eastAsia="宋体" w:hAnsi="Arial" w:cs="Arial"/>
          <w:color w:val="343434"/>
          <w:kern w:val="0"/>
          <w:szCs w:val="21"/>
        </w:rPr>
        <w:t>40</w:t>
      </w:r>
      <w:r w:rsidRPr="006C7143">
        <w:rPr>
          <w:rFonts w:ascii="Arial" w:eastAsia="宋体" w:hAnsi="Arial" w:cs="Arial"/>
          <w:color w:val="343434"/>
          <w:kern w:val="0"/>
          <w:szCs w:val="21"/>
        </w:rPr>
        <w:t>亿英镑，但却参与了全国</w:t>
      </w:r>
      <w:r w:rsidRPr="006C7143">
        <w:rPr>
          <w:rFonts w:ascii="Arial" w:eastAsia="宋体" w:hAnsi="Arial" w:cs="Arial"/>
          <w:color w:val="343434"/>
          <w:kern w:val="0"/>
          <w:szCs w:val="21"/>
        </w:rPr>
        <w:t>50%</w:t>
      </w:r>
      <w:r w:rsidRPr="006C7143">
        <w:rPr>
          <w:rFonts w:ascii="Arial" w:eastAsia="宋体" w:hAnsi="Arial" w:cs="Arial"/>
          <w:color w:val="343434"/>
          <w:kern w:val="0"/>
          <w:szCs w:val="21"/>
        </w:rPr>
        <w:t>的绿色项目，关键在于其参与大大降低了私营部门对这些项目的</w:t>
      </w:r>
      <w:r w:rsidRPr="006C7143">
        <w:rPr>
          <w:rFonts w:ascii="Arial" w:eastAsia="宋体" w:hAnsi="Arial" w:cs="Arial"/>
          <w:color w:val="343434"/>
          <w:kern w:val="0"/>
          <w:szCs w:val="21"/>
        </w:rPr>
        <w:t>“</w:t>
      </w:r>
      <w:r w:rsidRPr="006C7143">
        <w:rPr>
          <w:rFonts w:ascii="Arial" w:eastAsia="宋体" w:hAnsi="Arial" w:cs="Arial"/>
          <w:color w:val="343434"/>
          <w:kern w:val="0"/>
          <w:szCs w:val="21"/>
        </w:rPr>
        <w:t>风险厌恶</w:t>
      </w:r>
      <w:r w:rsidRPr="006C7143">
        <w:rPr>
          <w:rFonts w:ascii="Arial" w:eastAsia="宋体" w:hAnsi="Arial" w:cs="Arial"/>
          <w:color w:val="343434"/>
          <w:kern w:val="0"/>
          <w:szCs w:val="21"/>
        </w:rPr>
        <w:t>”</w:t>
      </w:r>
      <w:r w:rsidRPr="006C7143">
        <w:rPr>
          <w:rFonts w:ascii="Arial" w:eastAsia="宋体" w:hAnsi="Arial" w:cs="Arial"/>
          <w:color w:val="343434"/>
          <w:kern w:val="0"/>
          <w:szCs w:val="21"/>
        </w:rPr>
        <w:t>。由于政府资金的参与，私人部门的投资者会认为未来的政策会有利于这些项目，或预期的风险会明显降低，所以会更愿意跟投。从经济学意义上来说，风险下降就意味着广义的投资回报率提高，因为投资者看重</w:t>
      </w:r>
      <w:r w:rsidRPr="006C7143">
        <w:rPr>
          <w:rFonts w:ascii="Arial" w:eastAsia="宋体" w:hAnsi="Arial" w:cs="Arial"/>
          <w:color w:val="343434"/>
          <w:kern w:val="0"/>
          <w:szCs w:val="21"/>
        </w:rPr>
        <w:t>“</w:t>
      </w:r>
      <w:r w:rsidRPr="006C7143">
        <w:rPr>
          <w:rFonts w:ascii="Arial" w:eastAsia="宋体" w:hAnsi="Arial" w:cs="Arial"/>
          <w:color w:val="343434"/>
          <w:kern w:val="0"/>
          <w:szCs w:val="21"/>
        </w:rPr>
        <w:t>风险调整后的回报率</w:t>
      </w:r>
      <w:r w:rsidRPr="006C7143">
        <w:rPr>
          <w:rFonts w:ascii="Arial" w:eastAsia="宋体" w:hAnsi="Arial" w:cs="Arial"/>
          <w:color w:val="343434"/>
          <w:kern w:val="0"/>
          <w:szCs w:val="21"/>
        </w:rPr>
        <w:t>”</w:t>
      </w:r>
      <w:r w:rsidRPr="006C7143">
        <w:rPr>
          <w:rFonts w:ascii="Arial" w:eastAsia="宋体" w:hAnsi="Arial" w:cs="Arial"/>
          <w:color w:val="343434"/>
          <w:kern w:val="0"/>
          <w:szCs w:val="21"/>
        </w:rPr>
        <w:t>。</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第九，用碳市场为绿色企业提供额外收入并支持融资。如果</w:t>
      </w:r>
      <w:proofErr w:type="gramStart"/>
      <w:r w:rsidRPr="006C7143">
        <w:rPr>
          <w:rFonts w:ascii="Arial" w:eastAsia="宋体" w:hAnsi="Arial" w:cs="Arial"/>
          <w:color w:val="343434"/>
          <w:kern w:val="0"/>
          <w:szCs w:val="21"/>
        </w:rPr>
        <w:t>碳市场</w:t>
      </w:r>
      <w:proofErr w:type="gramEnd"/>
      <w:r w:rsidRPr="006C7143">
        <w:rPr>
          <w:rFonts w:ascii="Arial" w:eastAsia="宋体" w:hAnsi="Arial" w:cs="Arial"/>
          <w:color w:val="343434"/>
          <w:kern w:val="0"/>
          <w:szCs w:val="21"/>
        </w:rPr>
        <w:t>有了长足的进展，许多节能减排的企业可以通过出售额度来获得额外的收入，从而增强其融资能力。比如，项目已经投产、有稳定的</w:t>
      </w:r>
      <w:proofErr w:type="gramStart"/>
      <w:r w:rsidRPr="006C7143">
        <w:rPr>
          <w:rFonts w:ascii="Arial" w:eastAsia="宋体" w:hAnsi="Arial" w:cs="Arial"/>
          <w:color w:val="343434"/>
          <w:kern w:val="0"/>
          <w:szCs w:val="21"/>
        </w:rPr>
        <w:t>碳减排收益</w:t>
      </w:r>
      <w:proofErr w:type="gramEnd"/>
      <w:r w:rsidRPr="006C7143">
        <w:rPr>
          <w:rFonts w:ascii="Arial" w:eastAsia="宋体" w:hAnsi="Arial" w:cs="Arial"/>
          <w:color w:val="343434"/>
          <w:kern w:val="0"/>
          <w:szCs w:val="21"/>
        </w:rPr>
        <w:t>的风电企业可以发行碳债券，将债券利率与风</w:t>
      </w:r>
      <w:proofErr w:type="gramStart"/>
      <w:r w:rsidRPr="006C7143">
        <w:rPr>
          <w:rFonts w:ascii="Arial" w:eastAsia="宋体" w:hAnsi="Arial" w:cs="Arial"/>
          <w:color w:val="343434"/>
          <w:kern w:val="0"/>
          <w:szCs w:val="21"/>
        </w:rPr>
        <w:t>电项目的碳交易</w:t>
      </w:r>
      <w:proofErr w:type="gramEnd"/>
      <w:r w:rsidRPr="006C7143">
        <w:rPr>
          <w:rFonts w:ascii="Arial" w:eastAsia="宋体" w:hAnsi="Arial" w:cs="Arial"/>
          <w:color w:val="343434"/>
          <w:kern w:val="0"/>
          <w:szCs w:val="21"/>
        </w:rPr>
        <w:t>收益挂钩。此类</w:t>
      </w:r>
      <w:proofErr w:type="gramStart"/>
      <w:r w:rsidRPr="006C7143">
        <w:rPr>
          <w:rFonts w:ascii="Arial" w:eastAsia="宋体" w:hAnsi="Arial" w:cs="Arial"/>
          <w:color w:val="343434"/>
          <w:kern w:val="0"/>
          <w:szCs w:val="21"/>
        </w:rPr>
        <w:t>碳减排收益</w:t>
      </w:r>
      <w:proofErr w:type="gramEnd"/>
      <w:r w:rsidRPr="006C7143">
        <w:rPr>
          <w:rFonts w:ascii="Arial" w:eastAsia="宋体" w:hAnsi="Arial" w:cs="Arial"/>
          <w:color w:val="343434"/>
          <w:kern w:val="0"/>
          <w:szCs w:val="21"/>
        </w:rPr>
        <w:t>也应该可以用作向银行融资的质押。</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第十，将有稳定收益的项目打包，用</w:t>
      </w:r>
      <w:proofErr w:type="spellStart"/>
      <w:r w:rsidRPr="006C7143">
        <w:rPr>
          <w:rFonts w:ascii="Arial" w:eastAsia="宋体" w:hAnsi="Arial" w:cs="Arial"/>
          <w:color w:val="343434"/>
          <w:kern w:val="0"/>
          <w:szCs w:val="21"/>
        </w:rPr>
        <w:t>yieldco</w:t>
      </w:r>
      <w:proofErr w:type="spellEnd"/>
      <w:r w:rsidRPr="006C7143">
        <w:rPr>
          <w:rFonts w:ascii="Arial" w:eastAsia="宋体" w:hAnsi="Arial" w:cs="Arial"/>
          <w:color w:val="343434"/>
          <w:kern w:val="0"/>
          <w:szCs w:val="21"/>
        </w:rPr>
        <w:t>（可译为</w:t>
      </w:r>
      <w:r w:rsidRPr="006C7143">
        <w:rPr>
          <w:rFonts w:ascii="Arial" w:eastAsia="宋体" w:hAnsi="Arial" w:cs="Arial"/>
          <w:color w:val="343434"/>
          <w:kern w:val="0"/>
          <w:szCs w:val="21"/>
        </w:rPr>
        <w:t>“</w:t>
      </w:r>
      <w:r w:rsidRPr="006C7143">
        <w:rPr>
          <w:rFonts w:ascii="Arial" w:eastAsia="宋体" w:hAnsi="Arial" w:cs="Arial"/>
          <w:color w:val="343434"/>
          <w:kern w:val="0"/>
          <w:szCs w:val="21"/>
        </w:rPr>
        <w:t>收益公司</w:t>
      </w:r>
      <w:r w:rsidRPr="006C7143">
        <w:rPr>
          <w:rFonts w:ascii="Arial" w:eastAsia="宋体" w:hAnsi="Arial" w:cs="Arial"/>
          <w:color w:val="343434"/>
          <w:kern w:val="0"/>
          <w:szCs w:val="21"/>
        </w:rPr>
        <w:t>”</w:t>
      </w:r>
      <w:r w:rsidRPr="006C7143">
        <w:rPr>
          <w:rFonts w:ascii="Arial" w:eastAsia="宋体" w:hAnsi="Arial" w:cs="Arial"/>
          <w:color w:val="343434"/>
          <w:kern w:val="0"/>
          <w:szCs w:val="21"/>
        </w:rPr>
        <w:t>）的方式上市。</w:t>
      </w:r>
      <w:proofErr w:type="spellStart"/>
      <w:r w:rsidRPr="006C7143">
        <w:rPr>
          <w:rFonts w:ascii="Arial" w:eastAsia="宋体" w:hAnsi="Arial" w:cs="Arial"/>
          <w:color w:val="343434"/>
          <w:kern w:val="0"/>
          <w:szCs w:val="21"/>
        </w:rPr>
        <w:t>Yieldco</w:t>
      </w:r>
      <w:proofErr w:type="spellEnd"/>
      <w:r w:rsidRPr="006C7143">
        <w:rPr>
          <w:rFonts w:ascii="Arial" w:eastAsia="宋体" w:hAnsi="Arial" w:cs="Arial"/>
          <w:color w:val="343434"/>
          <w:kern w:val="0"/>
          <w:szCs w:val="21"/>
        </w:rPr>
        <w:t>是欧美新能源行业创造的一种新的融资模式，主要是指新能源公司分拆出来的一系列可创造稳定现金流的项目，将这些项目的购电协议及其他长期现金流绑定在一个在股票市场上交易的投资产品上，确保可以向投资者在相当长（如</w:t>
      </w:r>
      <w:r w:rsidRPr="006C7143">
        <w:rPr>
          <w:rFonts w:ascii="Arial" w:eastAsia="宋体" w:hAnsi="Arial" w:cs="Arial"/>
          <w:color w:val="343434"/>
          <w:kern w:val="0"/>
          <w:szCs w:val="21"/>
        </w:rPr>
        <w:t>20</w:t>
      </w:r>
      <w:r w:rsidRPr="006C7143">
        <w:rPr>
          <w:rFonts w:ascii="Arial" w:eastAsia="宋体" w:hAnsi="Arial" w:cs="Arial"/>
          <w:color w:val="343434"/>
          <w:kern w:val="0"/>
          <w:szCs w:val="21"/>
        </w:rPr>
        <w:t>年）的时间内支付稳定的收益（如</w:t>
      </w:r>
      <w:r w:rsidRPr="006C7143">
        <w:rPr>
          <w:rFonts w:ascii="Arial" w:eastAsia="宋体" w:hAnsi="Arial" w:cs="Arial"/>
          <w:color w:val="343434"/>
          <w:kern w:val="0"/>
          <w:szCs w:val="21"/>
        </w:rPr>
        <w:t>6%</w:t>
      </w:r>
      <w:r w:rsidRPr="006C7143">
        <w:rPr>
          <w:rFonts w:ascii="Arial" w:eastAsia="宋体" w:hAnsi="Arial" w:cs="Arial"/>
          <w:color w:val="343434"/>
          <w:kern w:val="0"/>
          <w:szCs w:val="21"/>
        </w:rPr>
        <w:t>）。这种安排类似于房地产企业常用的房地产信托基金（</w:t>
      </w:r>
      <w:r w:rsidRPr="006C7143">
        <w:rPr>
          <w:rFonts w:ascii="Arial" w:eastAsia="宋体" w:hAnsi="Arial" w:cs="Arial"/>
          <w:color w:val="343434"/>
          <w:kern w:val="0"/>
          <w:szCs w:val="21"/>
        </w:rPr>
        <w:t>REITs</w:t>
      </w:r>
      <w:r w:rsidRPr="006C7143">
        <w:rPr>
          <w:rFonts w:ascii="Arial" w:eastAsia="宋体" w:hAnsi="Arial" w:cs="Arial"/>
          <w:color w:val="343434"/>
          <w:kern w:val="0"/>
          <w:szCs w:val="21"/>
        </w:rPr>
        <w:t>）。这种方式可以使原先难以获得融资的一些项目以较低的成本获得融资。</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第十一，在绿色指数基础上开发绿色投资产品，引导资本市场更多地投资于绿色项目。我国的股票指数多以大型上市企业的市值为基础编制，而这些上市公司中有许多污染性的重工业企业，导致指数</w:t>
      </w:r>
      <w:r w:rsidRPr="006C7143">
        <w:rPr>
          <w:rFonts w:ascii="Arial" w:eastAsia="宋体" w:hAnsi="Arial" w:cs="Arial"/>
          <w:color w:val="343434"/>
          <w:kern w:val="0"/>
          <w:szCs w:val="21"/>
        </w:rPr>
        <w:t>“</w:t>
      </w:r>
      <w:r w:rsidRPr="006C7143">
        <w:rPr>
          <w:rFonts w:ascii="Arial" w:eastAsia="宋体" w:hAnsi="Arial" w:cs="Arial"/>
          <w:color w:val="343434"/>
          <w:kern w:val="0"/>
          <w:szCs w:val="21"/>
        </w:rPr>
        <w:t>棕色化</w:t>
      </w:r>
      <w:r w:rsidRPr="006C7143">
        <w:rPr>
          <w:rFonts w:ascii="Arial" w:eastAsia="宋体" w:hAnsi="Arial" w:cs="Arial"/>
          <w:color w:val="343434"/>
          <w:kern w:val="0"/>
          <w:szCs w:val="21"/>
        </w:rPr>
        <w:t>”</w:t>
      </w:r>
      <w:r w:rsidRPr="006C7143">
        <w:rPr>
          <w:rFonts w:ascii="Arial" w:eastAsia="宋体" w:hAnsi="Arial" w:cs="Arial"/>
          <w:color w:val="343434"/>
          <w:kern w:val="0"/>
          <w:szCs w:val="21"/>
        </w:rPr>
        <w:t>，使许多被动投资者（根据指数构成来配置资产的投资者）将过多的资金配置到污染型产业。未来需要开发更多的绿色指数，并在这些指数的基础上开发各种绿色基金和绿色理财产品，</w:t>
      </w:r>
      <w:proofErr w:type="gramStart"/>
      <w:r w:rsidRPr="006C7143">
        <w:rPr>
          <w:rFonts w:ascii="Arial" w:eastAsia="宋体" w:hAnsi="Arial" w:cs="Arial"/>
          <w:color w:val="343434"/>
          <w:kern w:val="0"/>
          <w:szCs w:val="21"/>
        </w:rPr>
        <w:t>让机构</w:t>
      </w:r>
      <w:proofErr w:type="gramEnd"/>
      <w:r w:rsidRPr="006C7143">
        <w:rPr>
          <w:rFonts w:ascii="Arial" w:eastAsia="宋体" w:hAnsi="Arial" w:cs="Arial"/>
          <w:color w:val="343434"/>
          <w:kern w:val="0"/>
          <w:szCs w:val="21"/>
        </w:rPr>
        <w:t>和个人投资者有更多的渠道投资于绿色产业。当资本市场将更多的资金投入绿色产业时，会推高其市盈率，降低其融资成本。</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除了上述可以直接降低绿色企业融资成本的方法之外，还有许多基础性的工作和制度安排可以间接地帮助绿色企业缓解融资难和融资贵问题。比如，强制性要求企业披露环境信息、提高投资者评估项目环境影响的能力（通过为其提供评估方法和软件系统）、第三方评级机构提供对企业的绿色评级等，都可以强化市场向绿色企业配置资源的能力。某种意义上来说，这些基础性工作是解决信息不对称导致的市场失灵的问题。所谓信息不对</w:t>
      </w:r>
      <w:r w:rsidRPr="006C7143">
        <w:rPr>
          <w:rFonts w:ascii="Arial" w:eastAsia="宋体" w:hAnsi="Arial" w:cs="Arial"/>
          <w:color w:val="343434"/>
          <w:kern w:val="0"/>
          <w:szCs w:val="21"/>
        </w:rPr>
        <w:lastRenderedPageBreak/>
        <w:t>称，是指企业知道自己是否污染，但由于信息不透明，资本市场并不知道，使得资本市场无法用脚投票来激励环境表现的优胜者。</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另外一类可以间接提高绿色企业资金可获得性的举措是实行强制性的绿色保险和明确银行的环境法律责任。在环境高风险行业实现强制性的生态保险，会增加其运行的前置成本（因为其需要买保险），将未来的环境风险显性化，迫使这些企业重新评估投资于这些高风险行业的可行性，从而达到抑制污染性投资的目的。在银行必须对所投资企业发生的污染事故负连带责任的法律环境下，银行将不得不建立更加严格的环境风险评估制度，减少对污染性项目的贷款。虽然这些法律安排的直接效果是减少污染性投资，但会间接地增加绿色投资的可用资金，会起到降低绿色融资成本、提高其资金可获得性的效果。套用一个经济术语来说，这会起到</w:t>
      </w:r>
      <w:r w:rsidRPr="006C7143">
        <w:rPr>
          <w:rFonts w:ascii="Arial" w:eastAsia="宋体" w:hAnsi="Arial" w:cs="Arial"/>
          <w:color w:val="343434"/>
          <w:kern w:val="0"/>
          <w:szCs w:val="21"/>
        </w:rPr>
        <w:t>“</w:t>
      </w:r>
      <w:r w:rsidRPr="006C7143">
        <w:rPr>
          <w:rFonts w:ascii="Arial" w:eastAsia="宋体" w:hAnsi="Arial" w:cs="Arial"/>
          <w:color w:val="343434"/>
          <w:kern w:val="0"/>
          <w:szCs w:val="21"/>
        </w:rPr>
        <w:t>挤入</w:t>
      </w:r>
      <w:r w:rsidRPr="006C7143">
        <w:rPr>
          <w:rFonts w:ascii="Arial" w:eastAsia="宋体" w:hAnsi="Arial" w:cs="Arial"/>
          <w:color w:val="343434"/>
          <w:kern w:val="0"/>
          <w:szCs w:val="21"/>
        </w:rPr>
        <w:t>”</w:t>
      </w:r>
      <w:r w:rsidRPr="006C7143">
        <w:rPr>
          <w:rFonts w:ascii="Arial" w:eastAsia="宋体" w:hAnsi="Arial" w:cs="Arial"/>
          <w:color w:val="343434"/>
          <w:kern w:val="0"/>
          <w:szCs w:val="21"/>
        </w:rPr>
        <w:t>绿色投资的效果。</w:t>
      </w:r>
      <w:r w:rsidRPr="006C7143">
        <w:rPr>
          <w:rFonts w:ascii="Arial" w:eastAsia="宋体" w:hAnsi="Arial" w:cs="Arial"/>
          <w:color w:val="343434"/>
          <w:kern w:val="0"/>
          <w:szCs w:val="21"/>
        </w:rPr>
        <w:t>■</w:t>
      </w:r>
    </w:p>
    <w:p w:rsidR="006C7143" w:rsidRPr="006C7143" w:rsidRDefault="006C7143" w:rsidP="006C7143">
      <w:pPr>
        <w:widowControl/>
        <w:shd w:val="clear" w:color="auto" w:fill="FFFFFF"/>
        <w:spacing w:line="361" w:lineRule="atLeast"/>
        <w:jc w:val="left"/>
        <w:rPr>
          <w:rFonts w:ascii="Arial" w:eastAsia="宋体" w:hAnsi="Arial" w:cs="Arial"/>
          <w:color w:val="343434"/>
          <w:kern w:val="0"/>
          <w:szCs w:val="21"/>
        </w:rPr>
      </w:pPr>
      <w:r w:rsidRPr="006C7143">
        <w:rPr>
          <w:rFonts w:ascii="Arial" w:eastAsia="宋体" w:hAnsi="Arial" w:cs="Arial"/>
          <w:color w:val="343434"/>
          <w:kern w:val="0"/>
          <w:szCs w:val="21"/>
        </w:rPr>
        <w:t xml:space="preserve">　　</w:t>
      </w:r>
      <w:r w:rsidRPr="006C7143">
        <w:rPr>
          <w:rFonts w:ascii="Arial" w:eastAsia="宋体" w:hAnsi="Arial" w:cs="Arial"/>
          <w:color w:val="343434"/>
          <w:kern w:val="0"/>
          <w:szCs w:val="21"/>
        </w:rPr>
        <w:t> </w:t>
      </w:r>
    </w:p>
    <w:p w:rsidR="006C7143" w:rsidRPr="006C7143" w:rsidRDefault="006C7143" w:rsidP="006C7143">
      <w:pPr>
        <w:widowControl/>
        <w:shd w:val="clear" w:color="auto" w:fill="FFFFFF"/>
        <w:spacing w:line="361" w:lineRule="atLeast"/>
        <w:jc w:val="right"/>
        <w:rPr>
          <w:rFonts w:ascii="Arial" w:eastAsia="宋体" w:hAnsi="Arial" w:cs="Arial"/>
          <w:color w:val="343434"/>
          <w:kern w:val="0"/>
          <w:szCs w:val="21"/>
        </w:rPr>
      </w:pPr>
      <w:r w:rsidRPr="006C7143">
        <w:rPr>
          <w:rFonts w:ascii="Arial" w:eastAsia="宋体" w:hAnsi="Arial" w:cs="Arial"/>
          <w:color w:val="343434"/>
          <w:kern w:val="0"/>
          <w:szCs w:val="21"/>
        </w:rPr>
        <w:t>作者系中国人民银行研究局首席经济学家</w:t>
      </w:r>
    </w:p>
    <w:p w:rsidR="00D71BC0" w:rsidRPr="006C7143" w:rsidRDefault="00D71BC0"/>
    <w:sectPr w:rsidR="00D71BC0" w:rsidRPr="006C7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43"/>
    <w:rsid w:val="006C7143"/>
    <w:rsid w:val="00D7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89BF5-D90F-4A2B-8191-05C4F928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6C71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C7143"/>
    <w:rPr>
      <w:rFonts w:ascii="宋体" w:eastAsia="宋体" w:hAnsi="宋体" w:cs="宋体"/>
      <w:b/>
      <w:bCs/>
      <w:kern w:val="0"/>
      <w:sz w:val="36"/>
      <w:szCs w:val="36"/>
    </w:rPr>
  </w:style>
  <w:style w:type="paragraph" w:customStyle="1" w:styleId="pauthor">
    <w:name w:val="p_author"/>
    <w:basedOn w:val="a"/>
    <w:rsid w:val="006C7143"/>
    <w:pPr>
      <w:widowControl/>
      <w:spacing w:before="100" w:beforeAutospacing="1" w:after="100" w:afterAutospacing="1"/>
      <w:jc w:val="left"/>
    </w:pPr>
    <w:rPr>
      <w:rFonts w:ascii="宋体" w:eastAsia="宋体" w:hAnsi="宋体" w:cs="宋体"/>
      <w:kern w:val="0"/>
      <w:sz w:val="24"/>
      <w:szCs w:val="24"/>
    </w:rPr>
  </w:style>
  <w:style w:type="paragraph" w:customStyle="1" w:styleId="partinfo">
    <w:name w:val="p_artinfo"/>
    <w:basedOn w:val="a"/>
    <w:rsid w:val="006C714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C7143"/>
  </w:style>
  <w:style w:type="character" w:customStyle="1" w:styleId="spantip">
    <w:name w:val="span_tip"/>
    <w:basedOn w:val="a0"/>
    <w:rsid w:val="006C7143"/>
  </w:style>
  <w:style w:type="character" w:styleId="a3">
    <w:name w:val="Emphasis"/>
    <w:basedOn w:val="a0"/>
    <w:uiPriority w:val="20"/>
    <w:qFormat/>
    <w:rsid w:val="006C7143"/>
    <w:rPr>
      <w:i/>
      <w:iCs/>
    </w:rPr>
  </w:style>
  <w:style w:type="character" w:styleId="a4">
    <w:name w:val="Hyperlink"/>
    <w:basedOn w:val="a0"/>
    <w:uiPriority w:val="99"/>
    <w:semiHidden/>
    <w:unhideWhenUsed/>
    <w:rsid w:val="006C7143"/>
    <w:rPr>
      <w:color w:val="0000FF"/>
      <w:u w:val="single"/>
    </w:rPr>
  </w:style>
  <w:style w:type="paragraph" w:customStyle="1" w:styleId="partopera">
    <w:name w:val="p_artopera"/>
    <w:basedOn w:val="a"/>
    <w:rsid w:val="006C714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C7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2761">
      <w:bodyDiv w:val="1"/>
      <w:marLeft w:val="0"/>
      <w:marRight w:val="0"/>
      <w:marTop w:val="0"/>
      <w:marBottom w:val="0"/>
      <w:divBdr>
        <w:top w:val="none" w:sz="0" w:space="0" w:color="auto"/>
        <w:left w:val="none" w:sz="0" w:space="0" w:color="auto"/>
        <w:bottom w:val="none" w:sz="0" w:space="0" w:color="auto"/>
        <w:right w:val="none" w:sz="0" w:space="0" w:color="auto"/>
      </w:divBdr>
      <w:divsChild>
        <w:div w:id="1959027971">
          <w:marLeft w:val="0"/>
          <w:marRight w:val="0"/>
          <w:marTop w:val="0"/>
          <w:marBottom w:val="0"/>
          <w:divBdr>
            <w:top w:val="none" w:sz="0" w:space="0" w:color="auto"/>
            <w:left w:val="none" w:sz="0" w:space="0" w:color="auto"/>
            <w:bottom w:val="none" w:sz="0" w:space="0" w:color="auto"/>
            <w:right w:val="none" w:sz="0" w:space="0" w:color="auto"/>
          </w:divBdr>
        </w:div>
        <w:div w:id="1069425524">
          <w:marLeft w:val="0"/>
          <w:marRight w:val="0"/>
          <w:marTop w:val="0"/>
          <w:marBottom w:val="0"/>
          <w:divBdr>
            <w:top w:val="none" w:sz="0" w:space="0" w:color="auto"/>
            <w:left w:val="none" w:sz="0" w:space="0" w:color="auto"/>
            <w:bottom w:val="none" w:sz="0" w:space="0" w:color="auto"/>
            <w:right w:val="none" w:sz="0" w:space="0" w:color="auto"/>
          </w:divBdr>
        </w:div>
        <w:div w:id="594363100">
          <w:marLeft w:val="0"/>
          <w:marRight w:val="0"/>
          <w:marTop w:val="0"/>
          <w:marBottom w:val="0"/>
          <w:divBdr>
            <w:top w:val="none" w:sz="0" w:space="0" w:color="auto"/>
            <w:left w:val="none" w:sz="0" w:space="0" w:color="auto"/>
            <w:bottom w:val="none" w:sz="0" w:space="0" w:color="auto"/>
            <w:right w:val="none" w:sz="0" w:space="0" w:color="auto"/>
          </w:divBdr>
        </w:div>
        <w:div w:id="127865980">
          <w:marLeft w:val="0"/>
          <w:marRight w:val="0"/>
          <w:marTop w:val="0"/>
          <w:marBottom w:val="0"/>
          <w:divBdr>
            <w:top w:val="none" w:sz="0" w:space="0" w:color="auto"/>
            <w:left w:val="none" w:sz="0" w:space="0" w:color="auto"/>
            <w:bottom w:val="none" w:sz="0" w:space="0" w:color="auto"/>
            <w:right w:val="none" w:sz="0" w:space="0" w:color="auto"/>
          </w:divBdr>
        </w:div>
        <w:div w:id="1482120086">
          <w:marLeft w:val="0"/>
          <w:marRight w:val="0"/>
          <w:marTop w:val="0"/>
          <w:marBottom w:val="0"/>
          <w:divBdr>
            <w:top w:val="none" w:sz="0" w:space="0" w:color="auto"/>
            <w:left w:val="none" w:sz="0" w:space="0" w:color="auto"/>
            <w:bottom w:val="none" w:sz="0" w:space="0" w:color="auto"/>
            <w:right w:val="none" w:sz="0" w:space="0" w:color="auto"/>
          </w:divBdr>
        </w:div>
        <w:div w:id="1066300704">
          <w:marLeft w:val="0"/>
          <w:marRight w:val="0"/>
          <w:marTop w:val="0"/>
          <w:marBottom w:val="0"/>
          <w:divBdr>
            <w:top w:val="none" w:sz="0" w:space="0" w:color="auto"/>
            <w:left w:val="none" w:sz="0" w:space="0" w:color="auto"/>
            <w:bottom w:val="none" w:sz="0" w:space="0" w:color="auto"/>
            <w:right w:val="none" w:sz="0" w:space="0" w:color="auto"/>
          </w:divBdr>
        </w:div>
        <w:div w:id="1719236057">
          <w:marLeft w:val="0"/>
          <w:marRight w:val="0"/>
          <w:marTop w:val="0"/>
          <w:marBottom w:val="0"/>
          <w:divBdr>
            <w:top w:val="none" w:sz="0" w:space="0" w:color="auto"/>
            <w:left w:val="none" w:sz="0" w:space="0" w:color="auto"/>
            <w:bottom w:val="none" w:sz="0" w:space="0" w:color="auto"/>
            <w:right w:val="none" w:sz="0" w:space="0" w:color="auto"/>
          </w:divBdr>
        </w:div>
        <w:div w:id="1061487939">
          <w:marLeft w:val="0"/>
          <w:marRight w:val="0"/>
          <w:marTop w:val="0"/>
          <w:marBottom w:val="0"/>
          <w:divBdr>
            <w:top w:val="none" w:sz="0" w:space="0" w:color="auto"/>
            <w:left w:val="none" w:sz="0" w:space="0" w:color="auto"/>
            <w:bottom w:val="none" w:sz="0" w:space="0" w:color="auto"/>
            <w:right w:val="none" w:sz="0" w:space="0" w:color="auto"/>
          </w:divBdr>
        </w:div>
        <w:div w:id="1699770124">
          <w:marLeft w:val="0"/>
          <w:marRight w:val="0"/>
          <w:marTop w:val="0"/>
          <w:marBottom w:val="0"/>
          <w:divBdr>
            <w:top w:val="none" w:sz="0" w:space="0" w:color="auto"/>
            <w:left w:val="none" w:sz="0" w:space="0" w:color="auto"/>
            <w:bottom w:val="none" w:sz="0" w:space="0" w:color="auto"/>
            <w:right w:val="none" w:sz="0" w:space="0" w:color="auto"/>
          </w:divBdr>
        </w:div>
        <w:div w:id="1033186922">
          <w:marLeft w:val="0"/>
          <w:marRight w:val="0"/>
          <w:marTop w:val="0"/>
          <w:marBottom w:val="0"/>
          <w:divBdr>
            <w:top w:val="none" w:sz="0" w:space="0" w:color="auto"/>
            <w:left w:val="none" w:sz="0" w:space="0" w:color="auto"/>
            <w:bottom w:val="none" w:sz="0" w:space="0" w:color="auto"/>
            <w:right w:val="none" w:sz="0" w:space="0" w:color="auto"/>
          </w:divBdr>
        </w:div>
        <w:div w:id="851652382">
          <w:marLeft w:val="0"/>
          <w:marRight w:val="0"/>
          <w:marTop w:val="0"/>
          <w:marBottom w:val="0"/>
          <w:divBdr>
            <w:top w:val="none" w:sz="0" w:space="0" w:color="auto"/>
            <w:left w:val="none" w:sz="0" w:space="0" w:color="auto"/>
            <w:bottom w:val="none" w:sz="0" w:space="0" w:color="auto"/>
            <w:right w:val="none" w:sz="0" w:space="0" w:color="auto"/>
          </w:divBdr>
        </w:div>
        <w:div w:id="835269445">
          <w:marLeft w:val="0"/>
          <w:marRight w:val="0"/>
          <w:marTop w:val="0"/>
          <w:marBottom w:val="0"/>
          <w:divBdr>
            <w:top w:val="none" w:sz="0" w:space="0" w:color="auto"/>
            <w:left w:val="none" w:sz="0" w:space="0" w:color="auto"/>
            <w:bottom w:val="none" w:sz="0" w:space="0" w:color="auto"/>
            <w:right w:val="none" w:sz="0" w:space="0" w:color="auto"/>
          </w:divBdr>
        </w:div>
      </w:divsChild>
    </w:div>
    <w:div w:id="1037269503">
      <w:bodyDiv w:val="1"/>
      <w:marLeft w:val="0"/>
      <w:marRight w:val="0"/>
      <w:marTop w:val="0"/>
      <w:marBottom w:val="0"/>
      <w:divBdr>
        <w:top w:val="none" w:sz="0" w:space="0" w:color="auto"/>
        <w:left w:val="none" w:sz="0" w:space="0" w:color="auto"/>
        <w:bottom w:val="none" w:sz="0" w:space="0" w:color="auto"/>
        <w:right w:val="none" w:sz="0" w:space="0" w:color="auto"/>
      </w:divBdr>
    </w:div>
    <w:div w:id="16747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2015-05-21T06:01:00Z</dcterms:created>
  <dcterms:modified xsi:type="dcterms:W3CDTF">2015-05-21T06:03:00Z</dcterms:modified>
</cp:coreProperties>
</file>